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06" w:rsidRPr="00D96633" w:rsidRDefault="0023495A" w:rsidP="00D96633">
      <w:pPr>
        <w:jc w:val="center"/>
        <w:rPr>
          <w:rFonts w:ascii="Times New Roman" w:hAnsi="Times New Roman"/>
          <w:sz w:val="32"/>
          <w:szCs w:val="32"/>
        </w:rPr>
      </w:pPr>
      <w:r w:rsidRPr="00D96633">
        <w:rPr>
          <w:rFonts w:ascii="Times New Roman" w:hAnsi="Times New Roman"/>
          <w:sz w:val="32"/>
          <w:szCs w:val="32"/>
        </w:rPr>
        <w:t>Итоговый отчет</w:t>
      </w:r>
    </w:p>
    <w:p w:rsidR="0023495A" w:rsidRPr="00303ED2" w:rsidRDefault="0023495A" w:rsidP="00D96633">
      <w:pPr>
        <w:jc w:val="center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Управления образования администрации Эвенкийского муниципального района Красноярского края</w:t>
      </w:r>
    </w:p>
    <w:p w:rsidR="0023495A" w:rsidRPr="00D96633" w:rsidRDefault="0023495A" w:rsidP="00D96633">
      <w:pPr>
        <w:jc w:val="center"/>
        <w:rPr>
          <w:rFonts w:ascii="Times New Roman" w:hAnsi="Times New Roman"/>
          <w:b/>
          <w:sz w:val="28"/>
          <w:szCs w:val="28"/>
        </w:rPr>
      </w:pPr>
      <w:r w:rsidRPr="00D96633">
        <w:rPr>
          <w:rFonts w:ascii="Times New Roman" w:hAnsi="Times New Roman"/>
          <w:b/>
          <w:sz w:val="28"/>
          <w:szCs w:val="28"/>
        </w:rPr>
        <w:t>О результатах анализа состояния и перспектив развития системы образования за 2013 год</w:t>
      </w:r>
    </w:p>
    <w:p w:rsidR="0023495A" w:rsidRPr="00BD2093" w:rsidRDefault="0023495A" w:rsidP="0023495A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D2093">
        <w:rPr>
          <w:rFonts w:ascii="Times New Roman" w:hAnsi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BD2093" w:rsidRPr="00BD2093" w:rsidRDefault="00BD2093" w:rsidP="00BD2093">
      <w:pPr>
        <w:ind w:left="360"/>
        <w:rPr>
          <w:rFonts w:ascii="Times New Roman" w:hAnsi="Times New Roman"/>
          <w:sz w:val="28"/>
          <w:szCs w:val="28"/>
        </w:rPr>
      </w:pPr>
    </w:p>
    <w:p w:rsidR="0023495A" w:rsidRPr="00303ED2" w:rsidRDefault="0023495A" w:rsidP="00D9663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Вводная часть</w:t>
      </w:r>
    </w:p>
    <w:p w:rsidR="0023495A" w:rsidRPr="00303ED2" w:rsidRDefault="0023495A" w:rsidP="00034C57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Эвенкийский муниципальный район находится на севере Красноярского края, на Среднесибирском плоскогорье, на правобережье реки Енисей, между 59 и 70 градусами северной широты и 88-108 градусами восточной долготы. </w:t>
      </w:r>
      <w:r w:rsidR="00A31718" w:rsidRPr="00303ED2">
        <w:rPr>
          <w:rFonts w:ascii="Times New Roman" w:hAnsi="Times New Roman"/>
          <w:sz w:val="28"/>
          <w:szCs w:val="28"/>
        </w:rPr>
        <w:t>Территория района - 767,6 тыс. км</w:t>
      </w:r>
      <w:proofErr w:type="gramStart"/>
      <w:r w:rsidR="00A31718" w:rsidRPr="00303ED2">
        <w:rPr>
          <w:rFonts w:ascii="Times New Roman" w:hAnsi="Times New Roman"/>
          <w:sz w:val="28"/>
          <w:szCs w:val="28"/>
        </w:rPr>
        <w:t>2</w:t>
      </w:r>
      <w:proofErr w:type="gramEnd"/>
      <w:r w:rsidR="00A31718" w:rsidRPr="00303ED2">
        <w:rPr>
          <w:rFonts w:ascii="Times New Roman" w:hAnsi="Times New Roman"/>
          <w:sz w:val="28"/>
          <w:szCs w:val="28"/>
        </w:rPr>
        <w:t xml:space="preserve"> (32% территории Красноярского края и 4,5% территории Российской Федерации). С севера на юг территория района простирается приблизительно на 1500 км, с востока на запад 800-850 км. </w:t>
      </w:r>
      <w:r w:rsidRPr="00303ED2">
        <w:rPr>
          <w:rFonts w:ascii="Times New Roman" w:hAnsi="Times New Roman"/>
          <w:sz w:val="28"/>
          <w:szCs w:val="28"/>
        </w:rPr>
        <w:t>Численность населения: всего 15881 человек, из них взрослых (18 лет и старше) – 11420 человек, подростков (15-17 лет)</w:t>
      </w:r>
      <w:r w:rsidR="00A31718" w:rsidRPr="00303ED2">
        <w:rPr>
          <w:rFonts w:ascii="Times New Roman" w:hAnsi="Times New Roman"/>
          <w:sz w:val="28"/>
          <w:szCs w:val="28"/>
        </w:rPr>
        <w:t xml:space="preserve"> -597 человек, детей (0-14 лет) – 3864 человека. </w:t>
      </w:r>
      <w:proofErr w:type="gramStart"/>
      <w:r w:rsidR="00A31718" w:rsidRPr="00303ED2">
        <w:rPr>
          <w:rFonts w:ascii="Times New Roman" w:hAnsi="Times New Roman"/>
          <w:sz w:val="28"/>
          <w:szCs w:val="28"/>
        </w:rPr>
        <w:t xml:space="preserve">Мужчин – 7715, женщин – 8166, работающих 7590. </w:t>
      </w:r>
      <w:r w:rsidR="00D053A2" w:rsidRPr="00303ED2">
        <w:rPr>
          <w:rFonts w:ascii="Times New Roman" w:eastAsia="Times New Roman" w:hAnsi="Times New Roman"/>
          <w:sz w:val="28"/>
          <w:szCs w:val="28"/>
        </w:rPr>
        <w:t>уровень безработицы по состоянию на 31 октября 2014 года - 2,5%, структура безработных граждан состоящих на учете по состоянию на 1 октября 2014 года следующая: 16-17 лет - 2 чел., 18-19 лет - 11 чел., 20-24 года - 22 чел., 25-29 лет - 30 чел., 30 и старше - 137 чел</w:t>
      </w:r>
      <w:proofErr w:type="gramEnd"/>
    </w:p>
    <w:p w:rsidR="00F02EA2" w:rsidRDefault="00F02EA2" w:rsidP="00BD2093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 сфере образования принята и действует программа «Развитие образования Эвенкийского муниципального района на 2014-2016 годы» На основании показателей этой программы,  и показателей МОРФ проводился анализ системы образования. </w:t>
      </w:r>
      <w:r w:rsidR="00DA727F" w:rsidRPr="00303ED2">
        <w:rPr>
          <w:rFonts w:ascii="Times New Roman" w:hAnsi="Times New Roman"/>
          <w:sz w:val="28"/>
          <w:szCs w:val="28"/>
        </w:rPr>
        <w:t xml:space="preserve"> На территории </w:t>
      </w:r>
      <w:r w:rsidR="00B31D03" w:rsidRPr="00303ED2">
        <w:rPr>
          <w:rFonts w:ascii="Times New Roman" w:hAnsi="Times New Roman"/>
          <w:sz w:val="28"/>
          <w:szCs w:val="28"/>
        </w:rPr>
        <w:t>более 10</w:t>
      </w:r>
      <w:r w:rsidR="00DA727F" w:rsidRPr="00303ED2">
        <w:rPr>
          <w:rFonts w:ascii="Times New Roman" w:hAnsi="Times New Roman"/>
          <w:sz w:val="28"/>
          <w:szCs w:val="28"/>
        </w:rPr>
        <w:t xml:space="preserve"> лет действует программа «Педагогические кадры», которая обеспечивает квалифицированными кадрами сельские </w:t>
      </w:r>
      <w:r w:rsidR="00B31D03" w:rsidRPr="00303ED2">
        <w:rPr>
          <w:rFonts w:ascii="Times New Roman" w:hAnsi="Times New Roman"/>
          <w:sz w:val="28"/>
          <w:szCs w:val="28"/>
        </w:rPr>
        <w:t xml:space="preserve">малочисленные </w:t>
      </w:r>
      <w:r w:rsidR="00DA727F" w:rsidRPr="00303ED2">
        <w:rPr>
          <w:rFonts w:ascii="Times New Roman" w:hAnsi="Times New Roman"/>
          <w:sz w:val="28"/>
          <w:szCs w:val="28"/>
        </w:rPr>
        <w:t>поселения</w:t>
      </w:r>
      <w:r w:rsidR="00B31D03" w:rsidRPr="00303ED2">
        <w:rPr>
          <w:rFonts w:ascii="Times New Roman" w:hAnsi="Times New Roman"/>
          <w:sz w:val="28"/>
          <w:szCs w:val="28"/>
        </w:rPr>
        <w:t xml:space="preserve"> Эвенкии. </w:t>
      </w:r>
    </w:p>
    <w:p w:rsidR="00BD2093" w:rsidRPr="00303ED2" w:rsidRDefault="00BD2093" w:rsidP="00BD2093">
      <w:pPr>
        <w:spacing w:after="0" w:line="240" w:lineRule="auto"/>
        <w:ind w:firstLine="348"/>
        <w:jc w:val="both"/>
        <w:rPr>
          <w:rFonts w:ascii="Times New Roman" w:hAnsi="Times New Roman"/>
          <w:sz w:val="28"/>
          <w:szCs w:val="28"/>
        </w:rPr>
      </w:pPr>
    </w:p>
    <w:p w:rsidR="00F02EA2" w:rsidRPr="00D96633" w:rsidRDefault="00F02EA2" w:rsidP="00F02EA2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D96633">
        <w:rPr>
          <w:rFonts w:ascii="Times New Roman" w:hAnsi="Times New Roman"/>
          <w:b/>
          <w:sz w:val="28"/>
          <w:szCs w:val="28"/>
        </w:rPr>
        <w:t>Анализ состояния и перспектив развития системы образования</w:t>
      </w:r>
    </w:p>
    <w:p w:rsidR="00D96633" w:rsidRDefault="00295D6C" w:rsidP="00D96633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3ED2">
        <w:rPr>
          <w:rFonts w:ascii="Times New Roman" w:hAnsi="Times New Roman"/>
          <w:b/>
          <w:sz w:val="28"/>
          <w:szCs w:val="28"/>
        </w:rPr>
        <w:t>Д</w:t>
      </w:r>
      <w:r w:rsidR="000F4DC2" w:rsidRPr="00303ED2">
        <w:rPr>
          <w:rFonts w:ascii="Times New Roman" w:hAnsi="Times New Roman"/>
          <w:b/>
          <w:sz w:val="28"/>
          <w:szCs w:val="28"/>
        </w:rPr>
        <w:t>ошкольно</w:t>
      </w:r>
      <w:r w:rsidRPr="00303ED2">
        <w:rPr>
          <w:rFonts w:ascii="Times New Roman" w:hAnsi="Times New Roman"/>
          <w:b/>
          <w:sz w:val="28"/>
          <w:szCs w:val="28"/>
        </w:rPr>
        <w:t>е</w:t>
      </w:r>
      <w:r w:rsidR="000F4DC2" w:rsidRPr="00303ED2">
        <w:rPr>
          <w:rFonts w:ascii="Times New Roman" w:hAnsi="Times New Roman"/>
          <w:b/>
          <w:sz w:val="28"/>
          <w:szCs w:val="28"/>
        </w:rPr>
        <w:t xml:space="preserve"> образовани</w:t>
      </w:r>
      <w:r w:rsidRPr="00303ED2">
        <w:rPr>
          <w:rFonts w:ascii="Times New Roman" w:hAnsi="Times New Roman"/>
          <w:b/>
          <w:sz w:val="28"/>
          <w:szCs w:val="28"/>
        </w:rPr>
        <w:t>е</w:t>
      </w:r>
    </w:p>
    <w:p w:rsidR="00D96633" w:rsidRDefault="00D96633" w:rsidP="00D96633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0F4DC2" w:rsidRPr="00303ED2" w:rsidRDefault="000F4DC2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На территории Эвенкийского района проживает 2 435 детей в возрасте от 0 до 7 лет. На 01.0</w:t>
      </w:r>
      <w:r w:rsidR="00BC46C0" w:rsidRPr="00303ED2">
        <w:rPr>
          <w:rFonts w:ascii="Times New Roman" w:hAnsi="Times New Roman"/>
          <w:sz w:val="28"/>
          <w:szCs w:val="28"/>
        </w:rPr>
        <w:t>1</w:t>
      </w:r>
      <w:r w:rsidRPr="00303ED2">
        <w:rPr>
          <w:rFonts w:ascii="Times New Roman" w:hAnsi="Times New Roman"/>
          <w:sz w:val="28"/>
          <w:szCs w:val="28"/>
        </w:rPr>
        <w:t xml:space="preserve">.2014 г.  работают 19 детских садов и 6 групп в начальных школах – детских садах, где  воспитывается  1 317 ребенка. </w:t>
      </w:r>
    </w:p>
    <w:p w:rsidR="000F4DC2" w:rsidRPr="00303ED2" w:rsidRDefault="000F4DC2" w:rsidP="00D96633">
      <w:pPr>
        <w:pStyle w:val="1"/>
        <w:ind w:firstLine="709"/>
        <w:jc w:val="both"/>
        <w:rPr>
          <w:rFonts w:eastAsia="Calibri"/>
          <w:lang w:eastAsia="en-US"/>
        </w:rPr>
      </w:pPr>
      <w:r w:rsidRPr="00303ED2">
        <w:rPr>
          <w:rFonts w:eastAsia="Calibri"/>
          <w:lang w:eastAsia="en-US"/>
        </w:rPr>
        <w:t>Все дети от 3 до 7 лет  посещают детские организации, в очереди от 1,5 до 3 лет стоят 140 детей.</w:t>
      </w:r>
    </w:p>
    <w:p w:rsidR="000F4DC2" w:rsidRPr="00303ED2" w:rsidRDefault="000F4DC2" w:rsidP="00D9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дошкольных учреждениях района реализуются распространенные в практике работы дошкольных образовательных учреждений комплексные образовательные программы: «Программа воспитания и обучения в детском </w:t>
      </w: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саду» (</w:t>
      </w:r>
      <w:proofErr w:type="spellStart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М.А.Васильева</w:t>
      </w:r>
      <w:proofErr w:type="spellEnd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, В.В. </w:t>
      </w:r>
      <w:proofErr w:type="spellStart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Гербова</w:t>
      </w:r>
      <w:proofErr w:type="spellEnd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Т.С.Комарова</w:t>
      </w:r>
      <w:proofErr w:type="spellEnd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); «Детство»; «Истоки»; «Радуга». </w:t>
      </w:r>
    </w:p>
    <w:p w:rsidR="000F4DC2" w:rsidRPr="00303ED2" w:rsidRDefault="000F4DC2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Развитие дошкольного образования и повышение его качества находится в прямой зависимости от кадровой политики.</w:t>
      </w:r>
      <w:r w:rsidR="00EC0502" w:rsidRPr="00303ED2">
        <w:rPr>
          <w:rFonts w:ascii="Times New Roman" w:hAnsi="Times New Roman"/>
          <w:sz w:val="28"/>
          <w:szCs w:val="28"/>
        </w:rPr>
        <w:t xml:space="preserve"> </w:t>
      </w:r>
    </w:p>
    <w:p w:rsidR="000F4DC2" w:rsidRPr="00303ED2" w:rsidRDefault="000F4DC2" w:rsidP="00D9663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 детских садах работает 145 педагогических раб</w:t>
      </w:r>
      <w:r w:rsidR="00EC0502" w:rsidRPr="00303ED2">
        <w:rPr>
          <w:rFonts w:ascii="Times New Roman" w:hAnsi="Times New Roman"/>
          <w:sz w:val="28"/>
          <w:szCs w:val="28"/>
        </w:rPr>
        <w:t>отников из них 113 воспитателей.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="00EC0502" w:rsidRPr="00303ED2">
        <w:rPr>
          <w:rFonts w:ascii="Times New Roman" w:hAnsi="Times New Roman"/>
          <w:sz w:val="28"/>
          <w:szCs w:val="28"/>
        </w:rPr>
        <w:t xml:space="preserve">9 воспитателей, не имеют образования,  со </w:t>
      </w:r>
      <w:r w:rsidRPr="00303ED2">
        <w:rPr>
          <w:rFonts w:ascii="Times New Roman" w:hAnsi="Times New Roman"/>
          <w:sz w:val="28"/>
          <w:szCs w:val="28"/>
        </w:rPr>
        <w:t>средн</w:t>
      </w:r>
      <w:r w:rsidR="00EC0502" w:rsidRPr="00303ED2">
        <w:rPr>
          <w:rFonts w:ascii="Times New Roman" w:hAnsi="Times New Roman"/>
          <w:sz w:val="28"/>
          <w:szCs w:val="28"/>
        </w:rPr>
        <w:t>им</w:t>
      </w:r>
      <w:r w:rsidRPr="00303ED2">
        <w:rPr>
          <w:rFonts w:ascii="Times New Roman" w:hAnsi="Times New Roman"/>
          <w:sz w:val="28"/>
          <w:szCs w:val="28"/>
        </w:rPr>
        <w:t xml:space="preserve"> профессиональн</w:t>
      </w:r>
      <w:r w:rsidR="00EC0502" w:rsidRPr="00303ED2">
        <w:rPr>
          <w:rFonts w:ascii="Times New Roman" w:hAnsi="Times New Roman"/>
          <w:sz w:val="28"/>
          <w:szCs w:val="28"/>
        </w:rPr>
        <w:t>ым</w:t>
      </w:r>
      <w:r w:rsidRPr="00303ED2">
        <w:rPr>
          <w:rFonts w:ascii="Times New Roman" w:hAnsi="Times New Roman"/>
          <w:sz w:val="28"/>
          <w:szCs w:val="28"/>
        </w:rPr>
        <w:t xml:space="preserve"> образование</w:t>
      </w:r>
      <w:r w:rsidR="00EC0502" w:rsidRPr="00303ED2">
        <w:rPr>
          <w:rFonts w:ascii="Times New Roman" w:hAnsi="Times New Roman"/>
          <w:sz w:val="28"/>
          <w:szCs w:val="28"/>
        </w:rPr>
        <w:t xml:space="preserve">м </w:t>
      </w:r>
      <w:r w:rsidRPr="00303ED2">
        <w:rPr>
          <w:rFonts w:ascii="Times New Roman" w:hAnsi="Times New Roman"/>
          <w:sz w:val="28"/>
          <w:szCs w:val="28"/>
        </w:rPr>
        <w:t>81 чел</w:t>
      </w:r>
      <w:r w:rsidR="00295D6C" w:rsidRPr="00303ED2">
        <w:rPr>
          <w:rFonts w:ascii="Times New Roman" w:hAnsi="Times New Roman"/>
          <w:sz w:val="28"/>
          <w:szCs w:val="28"/>
        </w:rPr>
        <w:t>овек</w:t>
      </w:r>
      <w:r w:rsidRPr="00303ED2">
        <w:rPr>
          <w:rFonts w:ascii="Times New Roman" w:hAnsi="Times New Roman"/>
          <w:sz w:val="28"/>
          <w:szCs w:val="28"/>
        </w:rPr>
        <w:t xml:space="preserve">, из них педагогическое </w:t>
      </w:r>
      <w:r w:rsidR="00EC0502" w:rsidRPr="00303ED2">
        <w:rPr>
          <w:rFonts w:ascii="Times New Roman" w:hAnsi="Times New Roman"/>
          <w:sz w:val="28"/>
          <w:szCs w:val="28"/>
        </w:rPr>
        <w:t xml:space="preserve">образование у </w:t>
      </w:r>
      <w:r w:rsidRPr="00303ED2">
        <w:rPr>
          <w:rFonts w:ascii="Times New Roman" w:hAnsi="Times New Roman"/>
          <w:sz w:val="28"/>
          <w:szCs w:val="28"/>
        </w:rPr>
        <w:t>67.</w:t>
      </w:r>
      <w:r w:rsidR="00EC0502" w:rsidRPr="00303ED2">
        <w:rPr>
          <w:rFonts w:ascii="Times New Roman" w:hAnsi="Times New Roman"/>
          <w:sz w:val="28"/>
          <w:szCs w:val="28"/>
        </w:rPr>
        <w:t xml:space="preserve"> В</w:t>
      </w:r>
      <w:r w:rsidRPr="00303ED2">
        <w:rPr>
          <w:rFonts w:ascii="Times New Roman" w:hAnsi="Times New Roman"/>
          <w:sz w:val="28"/>
          <w:szCs w:val="28"/>
        </w:rPr>
        <w:t xml:space="preserve">ысшее образование </w:t>
      </w:r>
      <w:r w:rsidR="00EC0502" w:rsidRPr="00303ED2">
        <w:rPr>
          <w:rFonts w:ascii="Times New Roman" w:hAnsi="Times New Roman"/>
          <w:sz w:val="28"/>
          <w:szCs w:val="28"/>
        </w:rPr>
        <w:t xml:space="preserve">имеют </w:t>
      </w:r>
      <w:r w:rsidRPr="00303ED2">
        <w:rPr>
          <w:rFonts w:ascii="Times New Roman" w:hAnsi="Times New Roman"/>
          <w:sz w:val="28"/>
          <w:szCs w:val="28"/>
        </w:rPr>
        <w:t xml:space="preserve">23 </w:t>
      </w:r>
      <w:r w:rsidR="00EC0502" w:rsidRPr="00303ED2">
        <w:rPr>
          <w:rFonts w:ascii="Times New Roman" w:hAnsi="Times New Roman"/>
          <w:sz w:val="28"/>
          <w:szCs w:val="28"/>
        </w:rPr>
        <w:t>воспитателя</w:t>
      </w:r>
      <w:r w:rsidRPr="00303ED2">
        <w:rPr>
          <w:rFonts w:ascii="Times New Roman" w:hAnsi="Times New Roman"/>
          <w:sz w:val="28"/>
          <w:szCs w:val="28"/>
        </w:rPr>
        <w:t>,</w:t>
      </w:r>
      <w:r w:rsidR="00EC0502" w:rsidRPr="00303ED2">
        <w:rPr>
          <w:rFonts w:ascii="Times New Roman" w:hAnsi="Times New Roman"/>
          <w:sz w:val="28"/>
          <w:szCs w:val="28"/>
        </w:rPr>
        <w:t xml:space="preserve"> из них педагогическое – 20 человек. Учитывая сложную ситуацию с образованием воспитателей, с</w:t>
      </w:r>
      <w:r w:rsidR="00295D6C" w:rsidRPr="00303ED2">
        <w:rPr>
          <w:rFonts w:ascii="Times New Roman" w:hAnsi="Times New Roman"/>
          <w:sz w:val="28"/>
          <w:szCs w:val="28"/>
        </w:rPr>
        <w:t xml:space="preserve"> 2014 года в Эвенкийский многопрофильный техникум открывает набор </w:t>
      </w:r>
      <w:r w:rsidR="00EC0502" w:rsidRPr="00303ED2">
        <w:rPr>
          <w:rFonts w:ascii="Times New Roman" w:hAnsi="Times New Roman"/>
          <w:sz w:val="28"/>
          <w:szCs w:val="28"/>
        </w:rPr>
        <w:t>студентов на обучение по специальности «Дошкольное образование»</w:t>
      </w:r>
    </w:p>
    <w:p w:rsidR="000F4DC2" w:rsidRPr="00303ED2" w:rsidRDefault="000F4DC2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Немаловажный показатель в кадровом обеспечении - возрастная структура кадрового состава  дошкольных образовательных учреждений. </w:t>
      </w:r>
      <w:r w:rsidR="00EC0502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В детских садах работают 7 педагогических работников в возрасте до 25 лет,  9 педагогических работн</w:t>
      </w:r>
      <w:r w:rsidR="00EC0502" w:rsidRPr="00303ED2">
        <w:rPr>
          <w:rFonts w:ascii="Times New Roman" w:hAnsi="Times New Roman"/>
          <w:sz w:val="28"/>
          <w:szCs w:val="28"/>
        </w:rPr>
        <w:t>иков в возрасте от 25 до 29 лет,</w:t>
      </w:r>
      <w:r w:rsidRPr="00303ED2">
        <w:rPr>
          <w:rFonts w:ascii="Times New Roman" w:hAnsi="Times New Roman"/>
          <w:sz w:val="28"/>
          <w:szCs w:val="28"/>
        </w:rPr>
        <w:t xml:space="preserve"> 65 педагогических работн</w:t>
      </w:r>
      <w:r w:rsidR="00EC0502" w:rsidRPr="00303ED2">
        <w:rPr>
          <w:rFonts w:ascii="Times New Roman" w:hAnsi="Times New Roman"/>
          <w:sz w:val="28"/>
          <w:szCs w:val="28"/>
        </w:rPr>
        <w:t xml:space="preserve">иков в возрасте от 30 до 49лет, </w:t>
      </w:r>
      <w:r w:rsidRPr="00303ED2">
        <w:rPr>
          <w:rFonts w:ascii="Times New Roman" w:hAnsi="Times New Roman"/>
          <w:sz w:val="28"/>
          <w:szCs w:val="28"/>
        </w:rPr>
        <w:t>специалист</w:t>
      </w:r>
      <w:r w:rsidR="00EC0502" w:rsidRPr="00303ED2">
        <w:rPr>
          <w:rFonts w:ascii="Times New Roman" w:hAnsi="Times New Roman"/>
          <w:sz w:val="28"/>
          <w:szCs w:val="28"/>
        </w:rPr>
        <w:t>ов</w:t>
      </w:r>
      <w:r w:rsidRPr="00303ED2">
        <w:rPr>
          <w:rFonts w:ascii="Times New Roman" w:hAnsi="Times New Roman"/>
          <w:sz w:val="28"/>
          <w:szCs w:val="28"/>
        </w:rPr>
        <w:t xml:space="preserve"> пенсионного возраста </w:t>
      </w:r>
      <w:r w:rsidR="00EC0502" w:rsidRPr="00303ED2">
        <w:rPr>
          <w:rFonts w:ascii="Times New Roman" w:hAnsi="Times New Roman"/>
          <w:sz w:val="28"/>
          <w:szCs w:val="28"/>
        </w:rPr>
        <w:t xml:space="preserve">– </w:t>
      </w:r>
      <w:r w:rsidRPr="00303ED2">
        <w:rPr>
          <w:rFonts w:ascii="Times New Roman" w:hAnsi="Times New Roman"/>
          <w:sz w:val="28"/>
          <w:szCs w:val="28"/>
        </w:rPr>
        <w:t>31</w:t>
      </w:r>
      <w:r w:rsidR="00EC0502" w:rsidRPr="00303ED2">
        <w:rPr>
          <w:rFonts w:ascii="Times New Roman" w:hAnsi="Times New Roman"/>
          <w:sz w:val="28"/>
          <w:szCs w:val="28"/>
        </w:rPr>
        <w:t xml:space="preserve"> человек</w:t>
      </w:r>
      <w:r w:rsidRPr="00303ED2">
        <w:rPr>
          <w:rFonts w:ascii="Times New Roman" w:hAnsi="Times New Roman"/>
          <w:sz w:val="28"/>
          <w:szCs w:val="28"/>
        </w:rPr>
        <w:t>.</w:t>
      </w:r>
    </w:p>
    <w:p w:rsidR="000F4DC2" w:rsidRPr="00303ED2" w:rsidRDefault="000F4DC2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Анализ материально-технических ресурсов дошкольных образовательных учреждений свидетельствует, о том, что в учреждениях происходит плановая замена и пополнение материально-технического оснащения и создание предметно-развивающей среды</w:t>
      </w:r>
      <w:r w:rsidRPr="00303ED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. </w:t>
      </w: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Все детские сад</w:t>
      </w:r>
      <w:r w:rsidR="00EC0502" w:rsidRPr="00303ED2">
        <w:rPr>
          <w:rFonts w:ascii="Times New Roman" w:eastAsia="Times New Roman" w:hAnsi="Times New Roman"/>
          <w:sz w:val="28"/>
          <w:szCs w:val="28"/>
          <w:lang w:eastAsia="ru-RU"/>
        </w:rPr>
        <w:t>ы района оснащаются современным</w:t>
      </w: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оборудовани</w:t>
      </w:r>
      <w:r w:rsidR="00EC0502" w:rsidRPr="00303ED2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развития детей. На прилегающих  территориях создаются детские площадки с применением современных технологий.</w:t>
      </w:r>
      <w:r w:rsidR="007911D7"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 С 2014 года все дошкольные образовательные учреждения переходят на ФГОС.</w:t>
      </w:r>
    </w:p>
    <w:p w:rsidR="000F4DC2" w:rsidRPr="00303ED2" w:rsidRDefault="000F4DC2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Дети с ограниченными возможностями здоровья и инвалиды не посещают  детские сады</w:t>
      </w:r>
      <w:r w:rsidR="007911D7" w:rsidRPr="00303ED2">
        <w:rPr>
          <w:rFonts w:ascii="Times New Roman" w:hAnsi="Times New Roman"/>
          <w:sz w:val="28"/>
          <w:szCs w:val="28"/>
        </w:rPr>
        <w:t xml:space="preserve"> ЭМР</w:t>
      </w:r>
      <w:r w:rsidRPr="00303ED2">
        <w:rPr>
          <w:rFonts w:ascii="Times New Roman" w:hAnsi="Times New Roman"/>
          <w:sz w:val="28"/>
          <w:szCs w:val="28"/>
        </w:rPr>
        <w:t>.</w:t>
      </w:r>
    </w:p>
    <w:p w:rsidR="000F4DC2" w:rsidRPr="00303ED2" w:rsidRDefault="000F4DC2" w:rsidP="00D9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Содержание педагогического процесса в детских садах органично включает оздоровление и физическое развитие ребенка. Традиции системы дошкольного образования даже в трудных современных условиях обеспечивают определенный уровень охраны здоровья детей. Педагоги ДОУ, медицинские работники, инструкторы физической культуры обеспечивают становление у детей ценностей здорового образа жизни, используя комплекс мер, который включает закаливание с использованием разных процедур: обширное умывание, ходьба по мокрым дорожкам, купание в бассейне (МКДОУ Детский сад № 2 «</w:t>
      </w:r>
      <w:proofErr w:type="spellStart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>Асиктакан</w:t>
      </w:r>
      <w:proofErr w:type="spellEnd"/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»). </w:t>
      </w:r>
    </w:p>
    <w:p w:rsidR="000F4DC2" w:rsidRDefault="000F4DC2" w:rsidP="00D9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Профилактические и оздоровительные мероприятия: дыхательная гимнастика, оздоровительный бег, релаксация и многое другое. При этом оздоровительные процедуры выступают неотъемлемой частью не только процессов ухода и воспитания, но и самого содержания обучения. </w:t>
      </w:r>
    </w:p>
    <w:p w:rsidR="00D96633" w:rsidRPr="00303ED2" w:rsidRDefault="00D96633" w:rsidP="00D966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11D7" w:rsidRDefault="007911D7" w:rsidP="007911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3ED2">
        <w:rPr>
          <w:rFonts w:ascii="Times New Roman" w:hAnsi="Times New Roman"/>
          <w:b/>
          <w:sz w:val="28"/>
          <w:szCs w:val="28"/>
        </w:rPr>
        <w:t>Обучение по образовательным программам начального, основного и среднего общего образования.</w:t>
      </w:r>
    </w:p>
    <w:p w:rsidR="00D96633" w:rsidRPr="00303ED2" w:rsidRDefault="00D96633" w:rsidP="007911D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8658A" w:rsidRPr="00303ED2" w:rsidRDefault="00857C24" w:rsidP="0068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lastRenderedPageBreak/>
        <w:t>В</w:t>
      </w:r>
      <w:r w:rsidR="0068658A" w:rsidRPr="00303ED2">
        <w:rPr>
          <w:rFonts w:ascii="Times New Roman" w:hAnsi="Times New Roman"/>
          <w:sz w:val="28"/>
          <w:szCs w:val="28"/>
        </w:rPr>
        <w:t xml:space="preserve"> Эвенкийско</w:t>
      </w:r>
      <w:r w:rsidRPr="00303ED2">
        <w:rPr>
          <w:rFonts w:ascii="Times New Roman" w:hAnsi="Times New Roman"/>
          <w:sz w:val="28"/>
          <w:szCs w:val="28"/>
        </w:rPr>
        <w:t>м</w:t>
      </w:r>
      <w:r w:rsidR="0068658A" w:rsidRPr="00303ED2">
        <w:rPr>
          <w:rFonts w:ascii="Times New Roman" w:hAnsi="Times New Roman"/>
          <w:sz w:val="28"/>
          <w:szCs w:val="28"/>
        </w:rPr>
        <w:t xml:space="preserve"> муниципально</w:t>
      </w:r>
      <w:r w:rsidRPr="00303ED2">
        <w:rPr>
          <w:rFonts w:ascii="Times New Roman" w:hAnsi="Times New Roman"/>
          <w:sz w:val="28"/>
          <w:szCs w:val="28"/>
        </w:rPr>
        <w:t>м</w:t>
      </w:r>
      <w:r w:rsidR="0068658A" w:rsidRPr="00303ED2">
        <w:rPr>
          <w:rFonts w:ascii="Times New Roman" w:hAnsi="Times New Roman"/>
          <w:sz w:val="28"/>
          <w:szCs w:val="28"/>
        </w:rPr>
        <w:t xml:space="preserve"> район</w:t>
      </w:r>
      <w:r w:rsidRPr="00303ED2">
        <w:rPr>
          <w:rFonts w:ascii="Times New Roman" w:hAnsi="Times New Roman"/>
          <w:sz w:val="28"/>
          <w:szCs w:val="28"/>
        </w:rPr>
        <w:t>е</w:t>
      </w:r>
      <w:r w:rsidR="0068658A" w:rsidRPr="00303ED2">
        <w:rPr>
          <w:rFonts w:ascii="Times New Roman" w:hAnsi="Times New Roman"/>
          <w:sz w:val="28"/>
          <w:szCs w:val="28"/>
        </w:rPr>
        <w:t xml:space="preserve"> 22 общеобразовательные организации. Из них 6 организаций для детей дошкольного и младшего школьного возраста – начальная школа – детский сад (действие одной из них в настоящий момент приостановлено из-за отсутствия детей школьного возраста), 5 начальных общеобразовательных школ, 3 основных общеобразовательных школы, 8 средних общеобразовательных школ.</w:t>
      </w:r>
      <w:r w:rsidR="00870B35" w:rsidRPr="00303E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70B35" w:rsidRPr="00303ED2">
        <w:rPr>
          <w:rFonts w:ascii="Times New Roman" w:hAnsi="Times New Roman"/>
          <w:sz w:val="28"/>
          <w:szCs w:val="28"/>
        </w:rPr>
        <w:t>Изменений сети  организаций, осуществляющих образовательную деятельность по основным общеобразовательным программам в 201</w:t>
      </w:r>
      <w:r w:rsidR="007911D7" w:rsidRPr="00303ED2">
        <w:rPr>
          <w:rFonts w:ascii="Times New Roman" w:hAnsi="Times New Roman"/>
          <w:sz w:val="28"/>
          <w:szCs w:val="28"/>
        </w:rPr>
        <w:t>3</w:t>
      </w:r>
      <w:r w:rsidR="00870B35" w:rsidRPr="00303ED2">
        <w:rPr>
          <w:rFonts w:ascii="Times New Roman" w:hAnsi="Times New Roman"/>
          <w:sz w:val="28"/>
          <w:szCs w:val="28"/>
        </w:rPr>
        <w:t xml:space="preserve"> не было</w:t>
      </w:r>
      <w:proofErr w:type="gramEnd"/>
      <w:r w:rsidR="00870B35" w:rsidRPr="00303ED2">
        <w:rPr>
          <w:rFonts w:ascii="Times New Roman" w:hAnsi="Times New Roman"/>
          <w:sz w:val="28"/>
          <w:szCs w:val="28"/>
        </w:rPr>
        <w:t>. Все действующие школы района аккредитованы.</w:t>
      </w:r>
    </w:p>
    <w:p w:rsidR="0068658A" w:rsidRPr="00303ED2" w:rsidRDefault="004E25C5" w:rsidP="00D96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Детей</w:t>
      </w:r>
      <w:r w:rsidR="0068658A" w:rsidRPr="00303ED2">
        <w:rPr>
          <w:rFonts w:ascii="Times New Roman" w:hAnsi="Times New Roman"/>
          <w:sz w:val="28"/>
          <w:szCs w:val="28"/>
        </w:rPr>
        <w:t>, получающ</w:t>
      </w:r>
      <w:r w:rsidRPr="00303ED2">
        <w:rPr>
          <w:rFonts w:ascii="Times New Roman" w:hAnsi="Times New Roman"/>
          <w:sz w:val="28"/>
          <w:szCs w:val="28"/>
        </w:rPr>
        <w:t>их</w:t>
      </w:r>
      <w:r w:rsidR="0068658A" w:rsidRPr="00303ED2">
        <w:rPr>
          <w:rFonts w:ascii="Times New Roman" w:hAnsi="Times New Roman"/>
          <w:sz w:val="28"/>
          <w:szCs w:val="28"/>
        </w:rPr>
        <w:t xml:space="preserve"> начальное общее образование - 1016, основное общее - 1095 и среднее общее образование – 215. Всего на начало 2014 - 2015 учебного года в общеобразовательных организациях обучается 2326 человек.</w:t>
      </w:r>
    </w:p>
    <w:p w:rsidR="0068658A" w:rsidRPr="00303ED2" w:rsidRDefault="0068658A" w:rsidP="0068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Кроме того, на базе 3-х средних общеобразовательных школ созданы учебно-консультационные</w:t>
      </w:r>
      <w:r w:rsidR="004E25C5" w:rsidRPr="00303ED2">
        <w:rPr>
          <w:rFonts w:ascii="Times New Roman" w:hAnsi="Times New Roman"/>
          <w:sz w:val="28"/>
          <w:szCs w:val="28"/>
        </w:rPr>
        <w:t xml:space="preserve"> пункты</w:t>
      </w:r>
      <w:r w:rsidR="007911D7" w:rsidRPr="00303ED2">
        <w:rPr>
          <w:rFonts w:ascii="Times New Roman" w:hAnsi="Times New Roman"/>
          <w:sz w:val="28"/>
          <w:szCs w:val="28"/>
        </w:rPr>
        <w:t xml:space="preserve"> (УКП)</w:t>
      </w:r>
      <w:r w:rsidR="00DA727F" w:rsidRPr="00303ED2">
        <w:rPr>
          <w:rFonts w:ascii="Times New Roman" w:hAnsi="Times New Roman"/>
          <w:sz w:val="28"/>
          <w:szCs w:val="28"/>
        </w:rPr>
        <w:t xml:space="preserve">. 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="00DA727F" w:rsidRPr="00303ED2">
        <w:rPr>
          <w:rFonts w:ascii="Times New Roman" w:hAnsi="Times New Roman"/>
          <w:sz w:val="28"/>
          <w:szCs w:val="28"/>
        </w:rPr>
        <w:t xml:space="preserve">УКП открыты с целью обеспечения доступности образования для тех детей, чьи родители проживают и работают в тайге и </w:t>
      </w:r>
      <w:r w:rsidR="007911D7" w:rsidRPr="00303ED2">
        <w:rPr>
          <w:rFonts w:ascii="Times New Roman" w:hAnsi="Times New Roman"/>
          <w:sz w:val="28"/>
          <w:szCs w:val="28"/>
        </w:rPr>
        <w:t>стремятся</w:t>
      </w:r>
      <w:r w:rsidR="00DA727F" w:rsidRPr="00303ED2">
        <w:rPr>
          <w:rFonts w:ascii="Times New Roman" w:hAnsi="Times New Roman"/>
          <w:sz w:val="28"/>
          <w:szCs w:val="28"/>
        </w:rPr>
        <w:t xml:space="preserve"> привлечь к традиционному образу жизни своих детей, а также для детей из неблагополучных семей, не желающих учиться в обычно</w:t>
      </w:r>
      <w:r w:rsidR="007911D7" w:rsidRPr="00303ED2">
        <w:rPr>
          <w:rFonts w:ascii="Times New Roman" w:hAnsi="Times New Roman"/>
          <w:sz w:val="28"/>
          <w:szCs w:val="28"/>
        </w:rPr>
        <w:t>й</w:t>
      </w:r>
      <w:r w:rsidR="00DA727F" w:rsidRPr="00303ED2">
        <w:rPr>
          <w:rFonts w:ascii="Times New Roman" w:hAnsi="Times New Roman"/>
          <w:sz w:val="28"/>
          <w:szCs w:val="28"/>
        </w:rPr>
        <w:t xml:space="preserve"> школе. В УКП </w:t>
      </w:r>
      <w:r w:rsidRPr="00303ED2">
        <w:rPr>
          <w:rFonts w:ascii="Times New Roman" w:hAnsi="Times New Roman"/>
          <w:sz w:val="28"/>
          <w:szCs w:val="28"/>
        </w:rPr>
        <w:t>обучается 131 человек (86 по очной форме обучения, 45 по  заочной форме обучения). Из них получают основное общее образование 83 человека, среднее общее образование – 48 человек.</w:t>
      </w:r>
      <w:r w:rsidR="00DA727F" w:rsidRPr="00303ED2">
        <w:rPr>
          <w:rFonts w:ascii="Times New Roman" w:hAnsi="Times New Roman"/>
          <w:sz w:val="28"/>
          <w:szCs w:val="28"/>
        </w:rPr>
        <w:t xml:space="preserve"> </w:t>
      </w:r>
    </w:p>
    <w:p w:rsidR="0068658A" w:rsidRPr="00303ED2" w:rsidRDefault="0068658A" w:rsidP="00E41EB7">
      <w:pPr>
        <w:tabs>
          <w:tab w:val="left" w:pos="567"/>
          <w:tab w:val="left" w:pos="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С целью перехода школ на обучение в соответствии с ФГОС организовано поэтапное повышение квалификации педагогов,  оснащение школ оборудованием, необходимым для внедрения  ФГОС, обучение учителей работе с новым оборудованием. </w:t>
      </w:r>
    </w:p>
    <w:p w:rsidR="0068658A" w:rsidRPr="00303ED2" w:rsidRDefault="0068658A" w:rsidP="00E41EB7">
      <w:pPr>
        <w:tabs>
          <w:tab w:val="left" w:pos="567"/>
          <w:tab w:val="left" w:pos="860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На 1 сентября 2014 года доля учеников начальной школы в ЭМР, обучающихся по новым Федеральным государственным образовательным стандартам, состав</w:t>
      </w:r>
      <w:r w:rsidR="007911D7" w:rsidRPr="00303ED2">
        <w:rPr>
          <w:rFonts w:ascii="Times New Roman" w:hAnsi="Times New Roman"/>
          <w:sz w:val="28"/>
          <w:szCs w:val="28"/>
        </w:rPr>
        <w:t>и</w:t>
      </w:r>
      <w:r w:rsidRPr="00303ED2">
        <w:rPr>
          <w:rFonts w:ascii="Times New Roman" w:hAnsi="Times New Roman"/>
          <w:sz w:val="28"/>
          <w:szCs w:val="28"/>
        </w:rPr>
        <w:t xml:space="preserve">т 100%. Повышение квалификации по введению ФГОС начальной школы прошли 100% учителей начальной школы. Идет плановая переподготовка  курирующих администраторов, учителей второй и третьей ступени, методистов. </w:t>
      </w:r>
    </w:p>
    <w:p w:rsidR="0068658A" w:rsidRPr="00303ED2" w:rsidRDefault="00B31D03" w:rsidP="0068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Программа «Педагогические кадры» </w:t>
      </w:r>
      <w:r w:rsidR="007911D7" w:rsidRPr="00303ED2">
        <w:rPr>
          <w:rFonts w:ascii="Times New Roman" w:hAnsi="Times New Roman"/>
          <w:sz w:val="28"/>
          <w:szCs w:val="28"/>
        </w:rPr>
        <w:t xml:space="preserve">уже много лет </w:t>
      </w:r>
      <w:r w:rsidRPr="00303ED2">
        <w:rPr>
          <w:rFonts w:ascii="Times New Roman" w:hAnsi="Times New Roman"/>
          <w:sz w:val="28"/>
          <w:szCs w:val="28"/>
        </w:rPr>
        <w:t>дает положительные результаты</w:t>
      </w:r>
      <w:r w:rsidR="005162F1" w:rsidRPr="00303ED2">
        <w:rPr>
          <w:rFonts w:ascii="Times New Roman" w:hAnsi="Times New Roman"/>
          <w:sz w:val="28"/>
          <w:szCs w:val="28"/>
        </w:rPr>
        <w:t>,</w:t>
      </w:r>
      <w:r w:rsidRPr="00303ED2">
        <w:rPr>
          <w:rFonts w:ascii="Times New Roman" w:hAnsi="Times New Roman"/>
          <w:sz w:val="28"/>
          <w:szCs w:val="28"/>
        </w:rPr>
        <w:t xml:space="preserve"> обеспечивая труднодоступные отдаленные поселения Эвенкии педагогами с высшим образованием. </w:t>
      </w:r>
      <w:r w:rsidR="0068658A" w:rsidRPr="00303ED2">
        <w:rPr>
          <w:rFonts w:ascii="Times New Roman" w:hAnsi="Times New Roman"/>
          <w:sz w:val="28"/>
          <w:szCs w:val="28"/>
        </w:rPr>
        <w:t>В</w:t>
      </w:r>
      <w:r w:rsidR="005162F1" w:rsidRPr="00303ED2">
        <w:rPr>
          <w:rFonts w:ascii="Times New Roman" w:hAnsi="Times New Roman"/>
          <w:sz w:val="28"/>
          <w:szCs w:val="28"/>
        </w:rPr>
        <w:t>о всех</w:t>
      </w:r>
      <w:r w:rsidR="0068658A" w:rsidRPr="00303ED2">
        <w:rPr>
          <w:rFonts w:ascii="Times New Roman" w:hAnsi="Times New Roman"/>
          <w:sz w:val="28"/>
          <w:szCs w:val="28"/>
        </w:rPr>
        <w:t xml:space="preserve"> общеобразовательных организациях </w:t>
      </w:r>
      <w:r w:rsidR="005162F1" w:rsidRPr="00303ED2">
        <w:rPr>
          <w:rFonts w:ascii="Times New Roman" w:hAnsi="Times New Roman"/>
          <w:sz w:val="28"/>
          <w:szCs w:val="28"/>
        </w:rPr>
        <w:t xml:space="preserve">ЭМР </w:t>
      </w:r>
      <w:r w:rsidR="0068658A" w:rsidRPr="00303ED2">
        <w:rPr>
          <w:rFonts w:ascii="Times New Roman" w:hAnsi="Times New Roman"/>
          <w:sz w:val="28"/>
          <w:szCs w:val="28"/>
        </w:rPr>
        <w:t>работают 264 педагогических работника, из них 193 – учителя. При этом численность педагогических работников</w:t>
      </w:r>
      <w:r w:rsidR="005162F1" w:rsidRPr="00303ED2">
        <w:rPr>
          <w:rFonts w:ascii="Times New Roman" w:hAnsi="Times New Roman"/>
          <w:sz w:val="28"/>
          <w:szCs w:val="28"/>
        </w:rPr>
        <w:t>,</w:t>
      </w:r>
      <w:r w:rsidR="0068658A" w:rsidRPr="00303ED2">
        <w:rPr>
          <w:rFonts w:ascii="Times New Roman" w:hAnsi="Times New Roman"/>
          <w:sz w:val="28"/>
          <w:szCs w:val="28"/>
        </w:rPr>
        <w:t xml:space="preserve"> имеющих высш</w:t>
      </w:r>
      <w:r w:rsidR="005162F1" w:rsidRPr="00303ED2">
        <w:rPr>
          <w:rFonts w:ascii="Times New Roman" w:hAnsi="Times New Roman"/>
          <w:sz w:val="28"/>
          <w:szCs w:val="28"/>
        </w:rPr>
        <w:t>ую</w:t>
      </w:r>
      <w:r w:rsidR="0068658A" w:rsidRPr="00303ED2">
        <w:rPr>
          <w:rFonts w:ascii="Times New Roman" w:hAnsi="Times New Roman"/>
          <w:sz w:val="28"/>
          <w:szCs w:val="28"/>
        </w:rPr>
        <w:t xml:space="preserve"> </w:t>
      </w:r>
      <w:r w:rsidR="005162F1" w:rsidRPr="00303ED2">
        <w:rPr>
          <w:rFonts w:ascii="Times New Roman" w:hAnsi="Times New Roman"/>
          <w:sz w:val="28"/>
          <w:szCs w:val="28"/>
        </w:rPr>
        <w:t xml:space="preserve">квалификационную </w:t>
      </w:r>
      <w:r w:rsidR="0068658A" w:rsidRPr="00303ED2">
        <w:rPr>
          <w:rFonts w:ascii="Times New Roman" w:hAnsi="Times New Roman"/>
          <w:sz w:val="28"/>
          <w:szCs w:val="28"/>
        </w:rPr>
        <w:t>категори</w:t>
      </w:r>
      <w:r w:rsidR="005162F1" w:rsidRPr="00303ED2">
        <w:rPr>
          <w:rFonts w:ascii="Times New Roman" w:hAnsi="Times New Roman"/>
          <w:sz w:val="28"/>
          <w:szCs w:val="28"/>
        </w:rPr>
        <w:t>ю,</w:t>
      </w:r>
      <w:r w:rsidR="0068658A" w:rsidRPr="00303ED2">
        <w:rPr>
          <w:rFonts w:ascii="Times New Roman" w:hAnsi="Times New Roman"/>
          <w:sz w:val="28"/>
          <w:szCs w:val="28"/>
        </w:rPr>
        <w:t xml:space="preserve"> составляет 37 человек, перв</w:t>
      </w:r>
      <w:r w:rsidR="005162F1" w:rsidRPr="00303ED2">
        <w:rPr>
          <w:rFonts w:ascii="Times New Roman" w:hAnsi="Times New Roman"/>
          <w:sz w:val="28"/>
          <w:szCs w:val="28"/>
        </w:rPr>
        <w:t>ую</w:t>
      </w:r>
      <w:r w:rsidR="0068658A" w:rsidRPr="00303ED2">
        <w:rPr>
          <w:rFonts w:ascii="Times New Roman" w:hAnsi="Times New Roman"/>
          <w:sz w:val="28"/>
          <w:szCs w:val="28"/>
        </w:rPr>
        <w:t xml:space="preserve"> категори</w:t>
      </w:r>
      <w:r w:rsidR="005162F1" w:rsidRPr="00303ED2">
        <w:rPr>
          <w:rFonts w:ascii="Times New Roman" w:hAnsi="Times New Roman"/>
          <w:sz w:val="28"/>
          <w:szCs w:val="28"/>
        </w:rPr>
        <w:t>ю</w:t>
      </w:r>
      <w:r w:rsidR="0068658A" w:rsidRPr="00303ED2">
        <w:rPr>
          <w:rFonts w:ascii="Times New Roman" w:hAnsi="Times New Roman"/>
          <w:sz w:val="28"/>
          <w:szCs w:val="28"/>
        </w:rPr>
        <w:t xml:space="preserve"> – 48 человек, втор</w:t>
      </w:r>
      <w:r w:rsidR="005162F1" w:rsidRPr="00303ED2">
        <w:rPr>
          <w:rFonts w:ascii="Times New Roman" w:hAnsi="Times New Roman"/>
          <w:sz w:val="28"/>
          <w:szCs w:val="28"/>
        </w:rPr>
        <w:t>ую</w:t>
      </w:r>
      <w:r w:rsidR="0068658A" w:rsidRPr="00303ED2">
        <w:rPr>
          <w:rFonts w:ascii="Times New Roman" w:hAnsi="Times New Roman"/>
          <w:sz w:val="28"/>
          <w:szCs w:val="28"/>
        </w:rPr>
        <w:t xml:space="preserve"> – 80 человек и без категории 99 человек.</w:t>
      </w:r>
      <w:r w:rsidR="00DA727F" w:rsidRPr="00303ED2">
        <w:rPr>
          <w:rFonts w:ascii="Times New Roman" w:hAnsi="Times New Roman"/>
          <w:sz w:val="28"/>
          <w:szCs w:val="28"/>
        </w:rPr>
        <w:t xml:space="preserve"> </w:t>
      </w:r>
    </w:p>
    <w:p w:rsidR="0068658A" w:rsidRPr="00303ED2" w:rsidRDefault="0068658A" w:rsidP="0068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Высшее профессиональное образование у 173 педагогических работников, из них высшее педагогическое у 160. Численность педагогических работников со стажем 2-5 лет – 21 человек. Основной контингент имеет стаж работы 20 и более лет – 159 человек. По возрастному составу основной группой является  категория 35 лет и более – 193 человека, пенсионного возраста -  75 человек. Педагогических работников моложе 25 лет 15 человек.</w:t>
      </w:r>
    </w:p>
    <w:p w:rsidR="0068658A" w:rsidRPr="00303ED2" w:rsidRDefault="00E41EB7" w:rsidP="00E41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lastRenderedPageBreak/>
        <w:t>М</w:t>
      </w:r>
      <w:r w:rsidR="0068658A" w:rsidRPr="00303ED2">
        <w:rPr>
          <w:rFonts w:ascii="Times New Roman" w:hAnsi="Times New Roman"/>
          <w:sz w:val="28"/>
          <w:szCs w:val="28"/>
        </w:rPr>
        <w:t>атериально-техническое и информационное обеспечение общеобразовательных организаций</w:t>
      </w:r>
      <w:r w:rsidRPr="00303ED2">
        <w:rPr>
          <w:rFonts w:ascii="Times New Roman" w:hAnsi="Times New Roman"/>
          <w:sz w:val="28"/>
          <w:szCs w:val="28"/>
        </w:rPr>
        <w:t>:</w:t>
      </w:r>
    </w:p>
    <w:p w:rsidR="0068658A" w:rsidRPr="00303ED2" w:rsidRDefault="0068658A" w:rsidP="00E41E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Общее число зданий и сооружений – 31, из них у общеобразовательных учреждений дошкольного и младшего школьного возраста – 6, общеобразовательных организаций – 22, у школы-интерната – 3. Общая площадь всех помещений 31 428 м</w:t>
      </w:r>
      <w:proofErr w:type="gramStart"/>
      <w:r w:rsidRPr="00303ED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. Число классных комнат – 225. Функционируют 14 мастерских с числом мест 131. Два образовательных учреждения имеют </w:t>
      </w:r>
      <w:r w:rsidR="00F61E6C" w:rsidRPr="00303ED2">
        <w:rPr>
          <w:rFonts w:ascii="Times New Roman" w:hAnsi="Times New Roman"/>
          <w:sz w:val="28"/>
          <w:szCs w:val="28"/>
        </w:rPr>
        <w:t>школьные автобусы</w:t>
      </w:r>
      <w:r w:rsidRPr="00303ED2">
        <w:rPr>
          <w:rFonts w:ascii="Times New Roman" w:hAnsi="Times New Roman"/>
          <w:sz w:val="28"/>
          <w:szCs w:val="28"/>
        </w:rPr>
        <w:t>. Семь учреждений имеют все виды благоустройства, в них обучается 80,9% учащихся.</w:t>
      </w:r>
    </w:p>
    <w:p w:rsidR="0068658A" w:rsidRPr="00303ED2" w:rsidRDefault="0068658A" w:rsidP="00F61E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Кабинеты основ информатики и вычислительной техники имеют 12 учреждений. Число персональных ЭВМ </w:t>
      </w:r>
      <w:r w:rsidR="00F61E6C" w:rsidRPr="00303ED2">
        <w:rPr>
          <w:rFonts w:ascii="Times New Roman" w:hAnsi="Times New Roman"/>
          <w:sz w:val="28"/>
          <w:szCs w:val="28"/>
        </w:rPr>
        <w:t xml:space="preserve">- </w:t>
      </w:r>
      <w:r w:rsidRPr="00303ED2">
        <w:rPr>
          <w:rFonts w:ascii="Times New Roman" w:hAnsi="Times New Roman"/>
          <w:sz w:val="28"/>
          <w:szCs w:val="28"/>
        </w:rPr>
        <w:t>404, из них 70 (17%) приобретены за последний год.  200 персональных ЭВМ используются в учебных целях.</w:t>
      </w:r>
    </w:p>
    <w:p w:rsidR="0068658A" w:rsidRPr="00303ED2" w:rsidRDefault="0068658A" w:rsidP="00686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Все организации подключены к сети </w:t>
      </w:r>
      <w:r w:rsidR="00F61E6C" w:rsidRPr="00303ED2">
        <w:rPr>
          <w:rFonts w:ascii="Times New Roman" w:hAnsi="Times New Roman"/>
          <w:sz w:val="28"/>
          <w:szCs w:val="28"/>
        </w:rPr>
        <w:t>И</w:t>
      </w:r>
      <w:r w:rsidRPr="00303ED2">
        <w:rPr>
          <w:rFonts w:ascii="Times New Roman" w:hAnsi="Times New Roman"/>
          <w:sz w:val="28"/>
          <w:szCs w:val="28"/>
        </w:rPr>
        <w:t>нтернет. 19 образовательных организаций (86%) имеют спутниковое подключение, при этом скорость подключения к сети Интернет у 95% организаций составляет от 128 кбит/с до 256 кбит/с.</w:t>
      </w:r>
      <w:r w:rsidR="00B31D03" w:rsidRPr="00303ED2">
        <w:rPr>
          <w:rFonts w:ascii="Times New Roman" w:hAnsi="Times New Roman"/>
          <w:sz w:val="28"/>
          <w:szCs w:val="28"/>
        </w:rPr>
        <w:t xml:space="preserve"> Условия Севера позволяют иметь только спутниковое и очень дорогое подключение </w:t>
      </w:r>
      <w:proofErr w:type="gramStart"/>
      <w:r w:rsidR="00B31D03" w:rsidRPr="00303ED2">
        <w:rPr>
          <w:rFonts w:ascii="Times New Roman" w:hAnsi="Times New Roman"/>
          <w:sz w:val="28"/>
          <w:szCs w:val="28"/>
        </w:rPr>
        <w:t>к</w:t>
      </w:r>
      <w:proofErr w:type="gramEnd"/>
      <w:r w:rsidR="00B31D03" w:rsidRPr="00303ED2">
        <w:rPr>
          <w:rFonts w:ascii="Times New Roman" w:hAnsi="Times New Roman"/>
          <w:sz w:val="28"/>
          <w:szCs w:val="28"/>
        </w:rPr>
        <w:t xml:space="preserve"> Интернет. Проведен анализ ценовой политики трафика Интернет и все школы заключили договоры с двумя разными поставщиками связи. </w:t>
      </w:r>
    </w:p>
    <w:p w:rsidR="0068658A" w:rsidRPr="00303ED2" w:rsidRDefault="00F61E6C" w:rsidP="00F61E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 школах </w:t>
      </w:r>
      <w:r w:rsidR="00B31D03" w:rsidRPr="00303ED2">
        <w:rPr>
          <w:rFonts w:ascii="Times New Roman" w:hAnsi="Times New Roman"/>
          <w:sz w:val="28"/>
          <w:szCs w:val="28"/>
        </w:rPr>
        <w:t xml:space="preserve">Эвенкии </w:t>
      </w:r>
      <w:r w:rsidRPr="00303ED2">
        <w:rPr>
          <w:rFonts w:ascii="Times New Roman" w:hAnsi="Times New Roman"/>
          <w:sz w:val="28"/>
          <w:szCs w:val="28"/>
        </w:rPr>
        <w:t>обучаются д</w:t>
      </w:r>
      <w:r w:rsidR="0068658A" w:rsidRPr="00303ED2">
        <w:rPr>
          <w:rFonts w:ascii="Times New Roman" w:hAnsi="Times New Roman"/>
          <w:sz w:val="28"/>
          <w:szCs w:val="28"/>
        </w:rPr>
        <w:t>ет</w:t>
      </w:r>
      <w:r w:rsidRPr="00303ED2">
        <w:rPr>
          <w:rFonts w:ascii="Times New Roman" w:hAnsi="Times New Roman"/>
          <w:sz w:val="28"/>
          <w:szCs w:val="28"/>
        </w:rPr>
        <w:t>и</w:t>
      </w:r>
      <w:r w:rsidR="0068658A" w:rsidRPr="00303ED2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аттестованны</w:t>
      </w:r>
      <w:r w:rsidRPr="00303ED2">
        <w:rPr>
          <w:rFonts w:ascii="Times New Roman" w:hAnsi="Times New Roman"/>
          <w:sz w:val="28"/>
          <w:szCs w:val="28"/>
        </w:rPr>
        <w:t xml:space="preserve">е ПМПК. Всего таких детей </w:t>
      </w:r>
      <w:r w:rsidR="0068658A" w:rsidRPr="00303ED2">
        <w:rPr>
          <w:rFonts w:ascii="Times New Roman" w:hAnsi="Times New Roman"/>
          <w:sz w:val="28"/>
          <w:szCs w:val="28"/>
        </w:rPr>
        <w:t xml:space="preserve">– 23, </w:t>
      </w:r>
      <w:r w:rsidRPr="00303ED2">
        <w:rPr>
          <w:rFonts w:ascii="Times New Roman" w:hAnsi="Times New Roman"/>
          <w:sz w:val="28"/>
          <w:szCs w:val="28"/>
        </w:rPr>
        <w:t>из них 12 детей из категории  «ребенок – инвалид». Одному ребенку</w:t>
      </w:r>
      <w:r w:rsidR="0068658A" w:rsidRPr="00303ED2">
        <w:rPr>
          <w:rFonts w:ascii="Times New Roman" w:hAnsi="Times New Roman"/>
          <w:sz w:val="28"/>
          <w:szCs w:val="28"/>
        </w:rPr>
        <w:t xml:space="preserve"> определен</w:t>
      </w:r>
      <w:r w:rsidRPr="00303ED2">
        <w:rPr>
          <w:rFonts w:ascii="Times New Roman" w:hAnsi="Times New Roman"/>
          <w:sz w:val="28"/>
          <w:szCs w:val="28"/>
        </w:rPr>
        <w:t>о</w:t>
      </w:r>
      <w:r w:rsidR="0068658A" w:rsidRPr="00303ED2">
        <w:rPr>
          <w:rFonts w:ascii="Times New Roman" w:hAnsi="Times New Roman"/>
          <w:sz w:val="28"/>
          <w:szCs w:val="28"/>
        </w:rPr>
        <w:t xml:space="preserve"> услови</w:t>
      </w:r>
      <w:r w:rsidRPr="00303ED2">
        <w:rPr>
          <w:rFonts w:ascii="Times New Roman" w:hAnsi="Times New Roman"/>
          <w:sz w:val="28"/>
          <w:szCs w:val="28"/>
        </w:rPr>
        <w:t>е</w:t>
      </w:r>
      <w:r w:rsidR="0068658A" w:rsidRPr="00303ED2">
        <w:rPr>
          <w:rFonts w:ascii="Times New Roman" w:hAnsi="Times New Roman"/>
          <w:sz w:val="28"/>
          <w:szCs w:val="28"/>
        </w:rPr>
        <w:t xml:space="preserve"> сдачи основного государственного </w:t>
      </w:r>
      <w:r w:rsidRPr="00303ED2">
        <w:rPr>
          <w:rFonts w:ascii="Times New Roman" w:hAnsi="Times New Roman"/>
          <w:sz w:val="28"/>
          <w:szCs w:val="28"/>
        </w:rPr>
        <w:t xml:space="preserve">экзамена. Десяти детям определены </w:t>
      </w:r>
      <w:r w:rsidR="0068658A" w:rsidRPr="00303ED2">
        <w:rPr>
          <w:rFonts w:ascii="Times New Roman" w:hAnsi="Times New Roman"/>
          <w:sz w:val="28"/>
          <w:szCs w:val="28"/>
        </w:rPr>
        <w:t>дальнейш</w:t>
      </w:r>
      <w:r w:rsidRPr="00303ED2">
        <w:rPr>
          <w:rFonts w:ascii="Times New Roman" w:hAnsi="Times New Roman"/>
          <w:sz w:val="28"/>
          <w:szCs w:val="28"/>
        </w:rPr>
        <w:t>ие</w:t>
      </w:r>
      <w:r w:rsidR="0068658A" w:rsidRPr="00303ED2">
        <w:rPr>
          <w:rFonts w:ascii="Times New Roman" w:hAnsi="Times New Roman"/>
          <w:sz w:val="28"/>
          <w:szCs w:val="28"/>
        </w:rPr>
        <w:t xml:space="preserve"> образовательн</w:t>
      </w:r>
      <w:r w:rsidRPr="00303ED2">
        <w:rPr>
          <w:rFonts w:ascii="Times New Roman" w:hAnsi="Times New Roman"/>
          <w:sz w:val="28"/>
          <w:szCs w:val="28"/>
        </w:rPr>
        <w:t>ые</w:t>
      </w:r>
      <w:r w:rsidR="0068658A" w:rsidRPr="00303ED2">
        <w:rPr>
          <w:rFonts w:ascii="Times New Roman" w:hAnsi="Times New Roman"/>
          <w:sz w:val="28"/>
          <w:szCs w:val="28"/>
        </w:rPr>
        <w:t xml:space="preserve"> маршрут</w:t>
      </w:r>
      <w:r w:rsidRPr="00303ED2">
        <w:rPr>
          <w:rFonts w:ascii="Times New Roman" w:hAnsi="Times New Roman"/>
          <w:sz w:val="28"/>
          <w:szCs w:val="28"/>
        </w:rPr>
        <w:t>ы,</w:t>
      </w:r>
      <w:r w:rsidR="0068658A" w:rsidRPr="00303ED2">
        <w:rPr>
          <w:rFonts w:ascii="Times New Roman" w:hAnsi="Times New Roman"/>
          <w:sz w:val="28"/>
          <w:szCs w:val="28"/>
        </w:rPr>
        <w:t xml:space="preserve"> из них: рекомендовано обучение по адаптированной образовательной программе с легкой степенью умственной отсталости трем учащимся, по адаптированной образовательной программе с умеренной степенью умственной отсталости – 2 учащимся.</w:t>
      </w:r>
      <w:r w:rsidR="00B31D03" w:rsidRPr="00303ED2">
        <w:rPr>
          <w:rFonts w:ascii="Times New Roman" w:hAnsi="Times New Roman"/>
          <w:sz w:val="28"/>
          <w:szCs w:val="28"/>
        </w:rPr>
        <w:t xml:space="preserve"> На данный момент нет необходимости в создании специальной </w:t>
      </w:r>
      <w:proofErr w:type="spellStart"/>
      <w:r w:rsidR="00B31D03" w:rsidRPr="00303ED2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B31D03" w:rsidRPr="00303ED2">
        <w:rPr>
          <w:rFonts w:ascii="Times New Roman" w:hAnsi="Times New Roman"/>
          <w:sz w:val="28"/>
          <w:szCs w:val="28"/>
        </w:rPr>
        <w:t xml:space="preserve"> </w:t>
      </w:r>
      <w:r w:rsidR="00CA4DC9" w:rsidRPr="00303ED2">
        <w:rPr>
          <w:rFonts w:ascii="Times New Roman" w:hAnsi="Times New Roman"/>
          <w:sz w:val="28"/>
          <w:szCs w:val="28"/>
        </w:rPr>
        <w:t xml:space="preserve">среды в школах. Несмотря на то, что в п. Тура есть  коррекционная школа, </w:t>
      </w:r>
      <w:proofErr w:type="gramStart"/>
      <w:r w:rsidR="00CA4DC9" w:rsidRPr="00303ED2">
        <w:rPr>
          <w:rFonts w:ascii="Times New Roman" w:hAnsi="Times New Roman"/>
          <w:sz w:val="28"/>
          <w:szCs w:val="28"/>
        </w:rPr>
        <w:t>часть детей ограниченных возможностей обучается в</w:t>
      </w:r>
      <w:proofErr w:type="gramEnd"/>
      <w:r w:rsidR="00CA4DC9" w:rsidRPr="00303ED2">
        <w:rPr>
          <w:rFonts w:ascii="Times New Roman" w:hAnsi="Times New Roman"/>
          <w:sz w:val="28"/>
          <w:szCs w:val="28"/>
        </w:rPr>
        <w:t xml:space="preserve"> обычных школах по адаптированным программам и для обеспечения качественного обучения запланирована подготовка учителей, создание адаптированных программ.</w:t>
      </w:r>
    </w:p>
    <w:p w:rsidR="00A57A27" w:rsidRPr="00303ED2" w:rsidRDefault="00F61E6C" w:rsidP="00A57A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Независимая оценка качества подготовки выпускников. Из 217 выпускников 9 кл</w:t>
      </w:r>
      <w:r w:rsidR="00A57A27" w:rsidRPr="00303ED2">
        <w:rPr>
          <w:rFonts w:ascii="Times New Roman" w:hAnsi="Times New Roman"/>
          <w:sz w:val="28"/>
          <w:szCs w:val="28"/>
        </w:rPr>
        <w:t>ассов</w:t>
      </w:r>
      <w:r w:rsidRPr="00303ED2">
        <w:rPr>
          <w:rFonts w:ascii="Times New Roman" w:hAnsi="Times New Roman"/>
          <w:sz w:val="28"/>
          <w:szCs w:val="28"/>
        </w:rPr>
        <w:t xml:space="preserve"> в 2013-2014 учебном году 203 (93,5%) человека прошли итоговую аттестацию, 14 (6,45%) учащихся </w:t>
      </w:r>
      <w:proofErr w:type="gramStart"/>
      <w:r w:rsidRPr="00303ED2">
        <w:rPr>
          <w:rFonts w:ascii="Times New Roman" w:hAnsi="Times New Roman"/>
          <w:sz w:val="28"/>
          <w:szCs w:val="28"/>
        </w:rPr>
        <w:t>оставлены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на повторное обучение. </w:t>
      </w:r>
    </w:p>
    <w:p w:rsidR="00F61E6C" w:rsidRPr="00303ED2" w:rsidRDefault="00F61E6C" w:rsidP="00A5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Средний балл по району:  </w:t>
      </w:r>
    </w:p>
    <w:p w:rsidR="00F61E6C" w:rsidRPr="00303ED2" w:rsidRDefault="00F61E6C" w:rsidP="00A5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-</w:t>
      </w:r>
      <w:r w:rsidR="00A57A27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средний балл по русскому языку - 3,5, процент верных ответов 63,6.</w:t>
      </w:r>
    </w:p>
    <w:p w:rsidR="00F61E6C" w:rsidRPr="00303ED2" w:rsidRDefault="00F61E6C" w:rsidP="00A57A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- средний балл по математике – 3,04, процент верных ответов 27,6.</w:t>
      </w:r>
    </w:p>
    <w:p w:rsidR="00F61E6C" w:rsidRPr="00303ED2" w:rsidRDefault="00F61E6C" w:rsidP="00D96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По итогам ЕГЭ 2014</w:t>
      </w:r>
      <w:r w:rsidR="00A57A27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г</w:t>
      </w:r>
      <w:r w:rsidR="00A57A27" w:rsidRPr="00303ED2">
        <w:rPr>
          <w:rFonts w:ascii="Times New Roman" w:hAnsi="Times New Roman"/>
          <w:sz w:val="28"/>
          <w:szCs w:val="28"/>
        </w:rPr>
        <w:t>.</w:t>
      </w:r>
      <w:r w:rsidRPr="00303ED2">
        <w:rPr>
          <w:rFonts w:ascii="Times New Roman" w:hAnsi="Times New Roman"/>
          <w:sz w:val="28"/>
          <w:szCs w:val="28"/>
        </w:rPr>
        <w:t xml:space="preserve"> в Эвенкийском муниципальном районе из 121 выпускник</w:t>
      </w:r>
      <w:r w:rsidR="00A57A27" w:rsidRPr="00303ED2">
        <w:rPr>
          <w:rFonts w:ascii="Times New Roman" w:hAnsi="Times New Roman"/>
          <w:sz w:val="28"/>
          <w:szCs w:val="28"/>
        </w:rPr>
        <w:t>а</w:t>
      </w:r>
      <w:r w:rsidRPr="00303ED2">
        <w:rPr>
          <w:rFonts w:ascii="Times New Roman" w:hAnsi="Times New Roman"/>
          <w:sz w:val="28"/>
          <w:szCs w:val="28"/>
        </w:rPr>
        <w:t xml:space="preserve"> (112</w:t>
      </w:r>
      <w:r w:rsidR="00A57A27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-</w:t>
      </w:r>
      <w:r w:rsidR="00A57A27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дневное обучение и 9</w:t>
      </w:r>
      <w:r w:rsidR="00A57A27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 xml:space="preserve">– очно-заочное обучение) </w:t>
      </w:r>
      <w:r w:rsidR="00A57A27" w:rsidRPr="00303ED2">
        <w:rPr>
          <w:rFonts w:ascii="Times New Roman" w:hAnsi="Times New Roman"/>
          <w:sz w:val="28"/>
          <w:szCs w:val="28"/>
        </w:rPr>
        <w:t xml:space="preserve">6 человек получили </w:t>
      </w:r>
      <w:r w:rsidRPr="00303ED2">
        <w:rPr>
          <w:rFonts w:ascii="Times New Roman" w:hAnsi="Times New Roman"/>
          <w:sz w:val="28"/>
          <w:szCs w:val="28"/>
        </w:rPr>
        <w:t>справки</w:t>
      </w:r>
      <w:r w:rsidR="00A57A27" w:rsidRPr="00303ED2">
        <w:rPr>
          <w:rFonts w:ascii="Times New Roman" w:hAnsi="Times New Roman"/>
          <w:sz w:val="28"/>
          <w:szCs w:val="28"/>
        </w:rPr>
        <w:t>,</w:t>
      </w:r>
      <w:r w:rsidRPr="00303ED2">
        <w:rPr>
          <w:rFonts w:ascii="Times New Roman" w:hAnsi="Times New Roman"/>
          <w:sz w:val="28"/>
          <w:szCs w:val="28"/>
        </w:rPr>
        <w:t xml:space="preserve"> что составляет 4,96%</w:t>
      </w:r>
      <w:r w:rsidR="00A57A27" w:rsidRPr="00303ED2">
        <w:rPr>
          <w:rFonts w:ascii="Times New Roman" w:hAnsi="Times New Roman"/>
          <w:sz w:val="28"/>
          <w:szCs w:val="28"/>
        </w:rPr>
        <w:t xml:space="preserve"> от общего числа выпускников средней школы</w:t>
      </w:r>
      <w:r w:rsidRPr="00303ED2">
        <w:rPr>
          <w:rFonts w:ascii="Times New Roman" w:hAnsi="Times New Roman"/>
          <w:sz w:val="28"/>
          <w:szCs w:val="28"/>
        </w:rPr>
        <w:t xml:space="preserve">,  из них 2 человека (1,79%) находившихся на дневном обучении и 4 человек (44,4%) находившихся  на очно-заочном обучении. </w:t>
      </w:r>
      <w:r w:rsidRPr="00303ED2">
        <w:rPr>
          <w:rFonts w:ascii="Times New Roman" w:hAnsi="Times New Roman"/>
          <w:sz w:val="28"/>
          <w:szCs w:val="28"/>
        </w:rPr>
        <w:lastRenderedPageBreak/>
        <w:t>Средний балл по району по итогам ЕГЭ</w:t>
      </w:r>
      <w:r w:rsidR="00A57A27" w:rsidRPr="00303ED2">
        <w:rPr>
          <w:rFonts w:ascii="Times New Roman" w:hAnsi="Times New Roman"/>
          <w:sz w:val="28"/>
          <w:szCs w:val="28"/>
        </w:rPr>
        <w:t xml:space="preserve"> -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="00A57A27" w:rsidRPr="00303ED2">
        <w:rPr>
          <w:rFonts w:ascii="Times New Roman" w:hAnsi="Times New Roman"/>
          <w:sz w:val="28"/>
          <w:szCs w:val="28"/>
        </w:rPr>
        <w:t xml:space="preserve">55,60 баллов по </w:t>
      </w:r>
      <w:r w:rsidRPr="00303ED2">
        <w:rPr>
          <w:rFonts w:ascii="Times New Roman" w:hAnsi="Times New Roman"/>
          <w:sz w:val="28"/>
          <w:szCs w:val="28"/>
        </w:rPr>
        <w:t>русск</w:t>
      </w:r>
      <w:r w:rsidR="00A57A27" w:rsidRPr="00303ED2">
        <w:rPr>
          <w:rFonts w:ascii="Times New Roman" w:hAnsi="Times New Roman"/>
          <w:sz w:val="28"/>
          <w:szCs w:val="28"/>
        </w:rPr>
        <w:t>ому</w:t>
      </w:r>
      <w:r w:rsidRPr="00303ED2">
        <w:rPr>
          <w:rFonts w:ascii="Times New Roman" w:hAnsi="Times New Roman"/>
          <w:sz w:val="28"/>
          <w:szCs w:val="28"/>
        </w:rPr>
        <w:t xml:space="preserve"> язык</w:t>
      </w:r>
      <w:r w:rsidR="00A57A27" w:rsidRPr="00303ED2">
        <w:rPr>
          <w:rFonts w:ascii="Times New Roman" w:hAnsi="Times New Roman"/>
          <w:sz w:val="28"/>
          <w:szCs w:val="28"/>
        </w:rPr>
        <w:t>у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="00A57A27" w:rsidRPr="00303ED2">
        <w:rPr>
          <w:rFonts w:ascii="Times New Roman" w:hAnsi="Times New Roman"/>
          <w:sz w:val="28"/>
          <w:szCs w:val="28"/>
        </w:rPr>
        <w:t>и 39,74 баллов  по математике</w:t>
      </w:r>
      <w:r w:rsidRPr="00303ED2">
        <w:rPr>
          <w:rFonts w:ascii="Times New Roman" w:hAnsi="Times New Roman"/>
          <w:sz w:val="28"/>
          <w:szCs w:val="28"/>
        </w:rPr>
        <w:t xml:space="preserve">. </w:t>
      </w:r>
    </w:p>
    <w:p w:rsidR="00F61E6C" w:rsidRPr="00303ED2" w:rsidRDefault="00F61E6C" w:rsidP="00D96633">
      <w:pPr>
        <w:shd w:val="clear" w:color="auto" w:fill="FFFFFF"/>
        <w:tabs>
          <w:tab w:val="left" w:leader="underscore" w:pos="95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 рамках краевой системы оценки качества образования ежегодно проводятся краевые контрольные работы, позволяющие оценить уровень освоения начального общего образования. По результатам краевых контрольных работ в 4-х классах по математике, русскому языку и </w:t>
      </w:r>
      <w:proofErr w:type="spellStart"/>
      <w:r w:rsidRPr="00303ED2">
        <w:rPr>
          <w:rFonts w:ascii="Times New Roman" w:hAnsi="Times New Roman"/>
          <w:sz w:val="28"/>
          <w:szCs w:val="28"/>
        </w:rPr>
        <w:t>общеучебным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умениям  </w:t>
      </w:r>
      <w:r w:rsidR="00A57A27" w:rsidRPr="00303ED2">
        <w:rPr>
          <w:rFonts w:ascii="Times New Roman" w:hAnsi="Times New Roman"/>
          <w:sz w:val="28"/>
          <w:szCs w:val="28"/>
        </w:rPr>
        <w:t xml:space="preserve">средний результат по району остается </w:t>
      </w:r>
      <w:r w:rsidRPr="00303ED2">
        <w:rPr>
          <w:rFonts w:ascii="Times New Roman" w:hAnsi="Times New Roman"/>
          <w:sz w:val="28"/>
          <w:szCs w:val="28"/>
        </w:rPr>
        <w:t xml:space="preserve"> ниже среднего балла по краю в 2014 году.  </w:t>
      </w:r>
      <w:r w:rsidR="00A57A27" w:rsidRPr="00303ED2">
        <w:rPr>
          <w:rFonts w:ascii="Times New Roman" w:hAnsi="Times New Roman"/>
          <w:sz w:val="28"/>
          <w:szCs w:val="28"/>
        </w:rPr>
        <w:t>Наблюдается некоторое снижение результатов и по сравнению с предыдущим годом. Так п</w:t>
      </w:r>
      <w:r w:rsidRPr="00303ED2">
        <w:rPr>
          <w:rFonts w:ascii="Times New Roman" w:hAnsi="Times New Roman"/>
          <w:sz w:val="28"/>
          <w:szCs w:val="28"/>
        </w:rPr>
        <w:t xml:space="preserve">оказатель среднего балла по муниципалитету по математике в 2013 году </w:t>
      </w:r>
      <w:r w:rsidR="00A57A27" w:rsidRPr="00303ED2">
        <w:rPr>
          <w:rFonts w:ascii="Times New Roman" w:hAnsi="Times New Roman"/>
          <w:sz w:val="28"/>
          <w:szCs w:val="28"/>
        </w:rPr>
        <w:t xml:space="preserve">составил </w:t>
      </w:r>
      <w:r w:rsidRPr="00303ED2">
        <w:rPr>
          <w:rFonts w:ascii="Times New Roman" w:hAnsi="Times New Roman"/>
          <w:sz w:val="28"/>
          <w:szCs w:val="28"/>
        </w:rPr>
        <w:t xml:space="preserve">65,63, в 2014 году - 61,56; по русскому языку в 2013 году - 62,79, в 2014 году – 62,35; по </w:t>
      </w:r>
      <w:proofErr w:type="spellStart"/>
      <w:r w:rsidRPr="00303ED2">
        <w:rPr>
          <w:rFonts w:ascii="Times New Roman" w:hAnsi="Times New Roman"/>
          <w:sz w:val="28"/>
          <w:szCs w:val="28"/>
        </w:rPr>
        <w:t>общеучебным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умениям в 2013 году – 61,76, в 2014 году – 61,14. </w:t>
      </w:r>
      <w:r w:rsidR="00CA4DC9" w:rsidRPr="00303ED2">
        <w:rPr>
          <w:rFonts w:ascii="Times New Roman" w:hAnsi="Times New Roman"/>
          <w:sz w:val="28"/>
          <w:szCs w:val="28"/>
        </w:rPr>
        <w:t xml:space="preserve"> Переход на новые стандарты в 2014 году  обучающихся 4-х классов подготовлен, поэтому ожидается улучшение результатов.</w:t>
      </w:r>
    </w:p>
    <w:p w:rsidR="0068658A" w:rsidRDefault="00870B35" w:rsidP="0068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С</w:t>
      </w:r>
      <w:r w:rsidR="0068658A" w:rsidRPr="00303ED2">
        <w:rPr>
          <w:rFonts w:ascii="Times New Roman" w:hAnsi="Times New Roman"/>
          <w:sz w:val="28"/>
          <w:szCs w:val="28"/>
        </w:rPr>
        <w:t xml:space="preserve">остояние здоровья </w:t>
      </w:r>
      <w:r w:rsidRPr="00303ED2">
        <w:rPr>
          <w:rFonts w:ascii="Times New Roman" w:hAnsi="Times New Roman"/>
          <w:sz w:val="28"/>
          <w:szCs w:val="28"/>
        </w:rPr>
        <w:t>детей</w:t>
      </w:r>
      <w:r w:rsidR="0068658A" w:rsidRPr="00303ED2">
        <w:rPr>
          <w:rFonts w:ascii="Times New Roman" w:hAnsi="Times New Roman"/>
          <w:sz w:val="28"/>
          <w:szCs w:val="28"/>
        </w:rPr>
        <w:t>, обучающихся по основным общеобразовательным программам</w:t>
      </w:r>
      <w:r w:rsidRPr="00303ED2">
        <w:rPr>
          <w:rFonts w:ascii="Times New Roman" w:hAnsi="Times New Roman"/>
          <w:sz w:val="28"/>
          <w:szCs w:val="28"/>
        </w:rPr>
        <w:t xml:space="preserve">: </w:t>
      </w:r>
      <w:r w:rsidR="0068658A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 xml:space="preserve">90% обучающихся относится к первой и второй группам здоровья. </w:t>
      </w:r>
      <w:r w:rsidR="0068658A" w:rsidRPr="00303ED2">
        <w:rPr>
          <w:rFonts w:ascii="Times New Roman" w:hAnsi="Times New Roman"/>
          <w:sz w:val="28"/>
          <w:szCs w:val="28"/>
        </w:rPr>
        <w:t>В тринадцати общеобразовательных учреждениях есть спортзалы, в остальных - помещения, приспособленные для занятий физкультурой. На базе общеобразовательных школ Эвенкийского  муниципального района создано 10 физкультурно-спортивных клубов, в которых занимается 721 школьник.</w:t>
      </w:r>
      <w:r w:rsidR="00CA4DC9" w:rsidRPr="00303ED2">
        <w:rPr>
          <w:rFonts w:ascii="Times New Roman" w:hAnsi="Times New Roman"/>
          <w:sz w:val="28"/>
          <w:szCs w:val="28"/>
        </w:rPr>
        <w:t xml:space="preserve"> На следующий учебный год запланирована сдача норм ГТО в трех крупных школах.</w:t>
      </w:r>
    </w:p>
    <w:p w:rsidR="00D96633" w:rsidRPr="00303ED2" w:rsidRDefault="00D96633" w:rsidP="006865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37FF4" w:rsidRDefault="00837FF4" w:rsidP="00837F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03ED2">
        <w:rPr>
          <w:rFonts w:ascii="Times New Roman" w:hAnsi="Times New Roman"/>
          <w:b/>
          <w:sz w:val="28"/>
          <w:szCs w:val="28"/>
        </w:rPr>
        <w:t>Дополнительное образование.</w:t>
      </w:r>
    </w:p>
    <w:p w:rsidR="00D96633" w:rsidRPr="00303ED2" w:rsidRDefault="00D96633" w:rsidP="00837F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70CFD" w:rsidRPr="00303ED2" w:rsidRDefault="00D70CFD" w:rsidP="00D70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 двух муниципальных учреждениях</w:t>
      </w:r>
      <w:r w:rsidR="00413D30" w:rsidRPr="00303ED2">
        <w:rPr>
          <w:rFonts w:ascii="Times New Roman" w:hAnsi="Times New Roman"/>
          <w:sz w:val="28"/>
          <w:szCs w:val="28"/>
        </w:rPr>
        <w:t xml:space="preserve"> дополнительного образования детей</w:t>
      </w:r>
      <w:r w:rsidRPr="00303ED2">
        <w:rPr>
          <w:rFonts w:ascii="Times New Roman" w:hAnsi="Times New Roman"/>
          <w:sz w:val="28"/>
          <w:szCs w:val="28"/>
        </w:rPr>
        <w:t>, находящихся в ведомстве управления образования - МКОУ ДОД «Дом детского творчества» в п.</w:t>
      </w:r>
      <w:r w:rsidR="00CA4DC9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Тура и МКОУ ДОД «</w:t>
      </w:r>
      <w:proofErr w:type="spellStart"/>
      <w:r w:rsidRPr="00303ED2">
        <w:rPr>
          <w:rFonts w:ascii="Times New Roman" w:hAnsi="Times New Roman"/>
          <w:sz w:val="28"/>
          <w:szCs w:val="28"/>
        </w:rPr>
        <w:t>Байкитский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центр детского творчества» в п. Байкит обучаются </w:t>
      </w:r>
      <w:r w:rsidRPr="00303ED2">
        <w:rPr>
          <w:rFonts w:ascii="Times New Roman" w:hAnsi="Times New Roman"/>
          <w:b/>
          <w:sz w:val="28"/>
          <w:szCs w:val="28"/>
        </w:rPr>
        <w:t>858 детей.</w:t>
      </w:r>
    </w:p>
    <w:p w:rsidR="00D70CFD" w:rsidRPr="00303ED2" w:rsidRDefault="00D70CFD" w:rsidP="00D70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Общее число объединений </w:t>
      </w:r>
      <w:r w:rsidR="00413D30" w:rsidRPr="00303ED2">
        <w:rPr>
          <w:rFonts w:ascii="Times New Roman" w:hAnsi="Times New Roman"/>
          <w:sz w:val="28"/>
          <w:szCs w:val="28"/>
        </w:rPr>
        <w:t xml:space="preserve">- </w:t>
      </w:r>
      <w:r w:rsidRPr="00303ED2">
        <w:rPr>
          <w:rFonts w:ascii="Times New Roman" w:hAnsi="Times New Roman"/>
          <w:sz w:val="28"/>
          <w:szCs w:val="28"/>
        </w:rPr>
        <w:t>37. Программы дополнительного образования в учреждениях района представлены следующим образом: 70 % программ имеют художественно-эстетическую направленность, 10,8 % программ – технической направленности и доля программ культурологической, туристско-краеведческой, эколого-биологической направленности не более 5% каждая.</w:t>
      </w:r>
      <w:r w:rsidR="00CA4DC9" w:rsidRPr="00303ED2">
        <w:rPr>
          <w:rFonts w:ascii="Times New Roman" w:hAnsi="Times New Roman"/>
          <w:sz w:val="28"/>
          <w:szCs w:val="28"/>
        </w:rPr>
        <w:t xml:space="preserve"> Планируется увеличение программ технической направленности, пока проблема с кадрами</w:t>
      </w:r>
      <w:r w:rsidR="007C2C94" w:rsidRPr="00303ED2">
        <w:rPr>
          <w:rFonts w:ascii="Times New Roman" w:hAnsi="Times New Roman"/>
          <w:sz w:val="28"/>
          <w:szCs w:val="28"/>
        </w:rPr>
        <w:t xml:space="preserve"> в этой области</w:t>
      </w:r>
      <w:r w:rsidR="00CA4DC9" w:rsidRPr="00303ED2">
        <w:rPr>
          <w:rFonts w:ascii="Times New Roman" w:hAnsi="Times New Roman"/>
          <w:sz w:val="28"/>
          <w:szCs w:val="28"/>
        </w:rPr>
        <w:t>.</w:t>
      </w:r>
    </w:p>
    <w:p w:rsidR="00D70CFD" w:rsidRPr="00303ED2" w:rsidRDefault="00D70CFD" w:rsidP="00D70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Всего численность работников </w:t>
      </w:r>
      <w:r w:rsidR="00413D30" w:rsidRPr="00303ED2"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</w:t>
      </w:r>
      <w:r w:rsidRPr="00303ED2">
        <w:rPr>
          <w:rFonts w:ascii="Times New Roman" w:hAnsi="Times New Roman"/>
          <w:sz w:val="28"/>
          <w:szCs w:val="28"/>
        </w:rPr>
        <w:t xml:space="preserve"> – 51 человек, из них  -</w:t>
      </w:r>
      <w:r w:rsidR="00413D30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36 педагогических работников.</w:t>
      </w:r>
      <w:r w:rsidR="00413D30" w:rsidRPr="00303ED2">
        <w:rPr>
          <w:rFonts w:ascii="Times New Roman" w:hAnsi="Times New Roman"/>
          <w:sz w:val="28"/>
          <w:szCs w:val="28"/>
        </w:rPr>
        <w:t xml:space="preserve"> Высшее образование имеют  23 человека, среднее профессиональное – 12 человек.</w:t>
      </w:r>
      <w:r w:rsidR="007C2C94"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sz w:val="28"/>
          <w:szCs w:val="28"/>
        </w:rPr>
        <w:t>Уровень квалификации: высшая категория – 2 чел</w:t>
      </w:r>
      <w:r w:rsidR="00413D30" w:rsidRPr="00303ED2">
        <w:rPr>
          <w:rFonts w:ascii="Times New Roman" w:hAnsi="Times New Roman"/>
          <w:sz w:val="28"/>
          <w:szCs w:val="28"/>
        </w:rPr>
        <w:t>овека</w:t>
      </w:r>
      <w:r w:rsidRPr="00303ED2">
        <w:rPr>
          <w:rFonts w:ascii="Times New Roman" w:hAnsi="Times New Roman"/>
          <w:sz w:val="28"/>
          <w:szCs w:val="28"/>
        </w:rPr>
        <w:t>, первая категория 5</w:t>
      </w:r>
      <w:r w:rsidR="00413D30" w:rsidRPr="00303ED2">
        <w:rPr>
          <w:rFonts w:ascii="Times New Roman" w:hAnsi="Times New Roman"/>
          <w:sz w:val="28"/>
          <w:szCs w:val="28"/>
        </w:rPr>
        <w:t xml:space="preserve"> человек</w:t>
      </w:r>
      <w:r w:rsidRPr="00303ED2">
        <w:rPr>
          <w:rFonts w:ascii="Times New Roman" w:hAnsi="Times New Roman"/>
          <w:sz w:val="28"/>
          <w:szCs w:val="28"/>
        </w:rPr>
        <w:t xml:space="preserve">. </w:t>
      </w:r>
    </w:p>
    <w:p w:rsidR="00D70CFD" w:rsidRPr="00303ED2" w:rsidRDefault="007C2C94" w:rsidP="00D70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В ведении учреждений ДОД находятся</w:t>
      </w:r>
      <w:r w:rsidR="00D70CFD" w:rsidRPr="00303ED2">
        <w:rPr>
          <w:rFonts w:ascii="Times New Roman" w:hAnsi="Times New Roman"/>
          <w:sz w:val="28"/>
          <w:szCs w:val="28"/>
        </w:rPr>
        <w:t xml:space="preserve"> 2 здания</w:t>
      </w:r>
      <w:r w:rsidRPr="00303ED2">
        <w:rPr>
          <w:rFonts w:ascii="Times New Roman" w:hAnsi="Times New Roman"/>
          <w:sz w:val="28"/>
          <w:szCs w:val="28"/>
        </w:rPr>
        <w:t xml:space="preserve"> с </w:t>
      </w:r>
      <w:r w:rsidR="00D70CFD" w:rsidRPr="00303ED2">
        <w:rPr>
          <w:rFonts w:ascii="Times New Roman" w:hAnsi="Times New Roman"/>
          <w:sz w:val="28"/>
          <w:szCs w:val="28"/>
        </w:rPr>
        <w:t xml:space="preserve"> общ</w:t>
      </w:r>
      <w:r w:rsidRPr="00303ED2">
        <w:rPr>
          <w:rFonts w:ascii="Times New Roman" w:hAnsi="Times New Roman"/>
          <w:sz w:val="28"/>
          <w:szCs w:val="28"/>
        </w:rPr>
        <w:t>ей</w:t>
      </w:r>
      <w:r w:rsidR="00D70CFD" w:rsidRPr="00303ED2">
        <w:rPr>
          <w:rFonts w:ascii="Times New Roman" w:hAnsi="Times New Roman"/>
          <w:sz w:val="28"/>
          <w:szCs w:val="28"/>
        </w:rPr>
        <w:t xml:space="preserve"> площадь</w:t>
      </w:r>
      <w:r w:rsidRPr="00303ED2">
        <w:rPr>
          <w:rFonts w:ascii="Times New Roman" w:hAnsi="Times New Roman"/>
          <w:sz w:val="28"/>
          <w:szCs w:val="28"/>
        </w:rPr>
        <w:t>ю 848</w:t>
      </w:r>
      <w:r w:rsidR="00D70CFD" w:rsidRPr="00303ED2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="00D70CFD" w:rsidRPr="00303ED2">
        <w:rPr>
          <w:rFonts w:ascii="Times New Roman" w:hAnsi="Times New Roman"/>
          <w:sz w:val="28"/>
          <w:szCs w:val="28"/>
        </w:rPr>
        <w:t>.м</w:t>
      </w:r>
      <w:proofErr w:type="gramEnd"/>
      <w:r w:rsidR="00D70CFD" w:rsidRPr="00303ED2">
        <w:rPr>
          <w:rFonts w:ascii="Times New Roman" w:hAnsi="Times New Roman"/>
          <w:sz w:val="28"/>
          <w:szCs w:val="28"/>
        </w:rPr>
        <w:t xml:space="preserve">, число классных комнат </w:t>
      </w:r>
      <w:r w:rsidR="00837FF4" w:rsidRPr="00303ED2">
        <w:rPr>
          <w:rFonts w:ascii="Times New Roman" w:hAnsi="Times New Roman"/>
          <w:sz w:val="28"/>
          <w:szCs w:val="28"/>
        </w:rPr>
        <w:t xml:space="preserve">- </w:t>
      </w:r>
      <w:r w:rsidR="00D70CFD" w:rsidRPr="00303ED2">
        <w:rPr>
          <w:rFonts w:ascii="Times New Roman" w:hAnsi="Times New Roman"/>
          <w:sz w:val="28"/>
          <w:szCs w:val="28"/>
        </w:rPr>
        <w:t xml:space="preserve">18, мастерских </w:t>
      </w:r>
      <w:r w:rsidR="00837FF4" w:rsidRPr="00303ED2">
        <w:rPr>
          <w:rFonts w:ascii="Times New Roman" w:hAnsi="Times New Roman"/>
          <w:sz w:val="28"/>
          <w:szCs w:val="28"/>
        </w:rPr>
        <w:t xml:space="preserve">- </w:t>
      </w:r>
      <w:r w:rsidR="00D70CFD" w:rsidRPr="00303ED2">
        <w:rPr>
          <w:rFonts w:ascii="Times New Roman" w:hAnsi="Times New Roman"/>
          <w:sz w:val="28"/>
          <w:szCs w:val="28"/>
        </w:rPr>
        <w:t xml:space="preserve">14, 26 компьютеров, имеется интернет подключение, организации имеют центральное отопление, канализацию. </w:t>
      </w:r>
    </w:p>
    <w:p w:rsidR="00D70CFD" w:rsidRPr="00303ED2" w:rsidRDefault="00D70CFD" w:rsidP="00D70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lastRenderedPageBreak/>
        <w:t xml:space="preserve">Информационное обеспечение представлено </w:t>
      </w:r>
      <w:r w:rsidR="009020E2" w:rsidRPr="00303ED2">
        <w:rPr>
          <w:rFonts w:ascii="Times New Roman" w:hAnsi="Times New Roman"/>
          <w:sz w:val="28"/>
          <w:szCs w:val="28"/>
        </w:rPr>
        <w:t>на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="00837FF4" w:rsidRPr="00303ED2">
        <w:rPr>
          <w:rFonts w:ascii="Times New Roman" w:hAnsi="Times New Roman"/>
          <w:sz w:val="28"/>
          <w:szCs w:val="28"/>
        </w:rPr>
        <w:t xml:space="preserve">собственных </w:t>
      </w:r>
      <w:r w:rsidRPr="00303ED2">
        <w:rPr>
          <w:rFonts w:ascii="Times New Roman" w:hAnsi="Times New Roman"/>
          <w:sz w:val="28"/>
          <w:szCs w:val="28"/>
        </w:rPr>
        <w:t>сайт</w:t>
      </w:r>
      <w:r w:rsidR="009020E2" w:rsidRPr="00303ED2">
        <w:rPr>
          <w:rFonts w:ascii="Times New Roman" w:hAnsi="Times New Roman"/>
          <w:sz w:val="28"/>
          <w:szCs w:val="28"/>
        </w:rPr>
        <w:t>ах</w:t>
      </w:r>
      <w:r w:rsidRPr="00303ED2">
        <w:rPr>
          <w:rFonts w:ascii="Times New Roman" w:hAnsi="Times New Roman"/>
          <w:sz w:val="28"/>
          <w:szCs w:val="28"/>
        </w:rPr>
        <w:t xml:space="preserve"> Дома детского творчества и Центра детского творчества.</w:t>
      </w:r>
    </w:p>
    <w:p w:rsidR="00D70CFD" w:rsidRPr="00303ED2" w:rsidRDefault="00D70CFD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Достижения </w:t>
      </w:r>
      <w:proofErr w:type="gramStart"/>
      <w:r w:rsidR="009020E2" w:rsidRPr="00303ED2">
        <w:rPr>
          <w:rFonts w:ascii="Times New Roman" w:hAnsi="Times New Roman"/>
          <w:sz w:val="28"/>
          <w:szCs w:val="28"/>
        </w:rPr>
        <w:t>детей</w:t>
      </w:r>
      <w:r w:rsidRPr="00303ED2">
        <w:rPr>
          <w:rFonts w:ascii="Times New Roman" w:hAnsi="Times New Roman"/>
          <w:sz w:val="28"/>
          <w:szCs w:val="28"/>
        </w:rPr>
        <w:t>, обучающихся по программам дополнительного образования детей представлены</w:t>
      </w:r>
      <w:proofErr w:type="gramEnd"/>
      <w:r w:rsidRPr="00303ED2">
        <w:rPr>
          <w:rFonts w:ascii="Times New Roman" w:hAnsi="Times New Roman"/>
          <w:sz w:val="28"/>
          <w:szCs w:val="28"/>
        </w:rPr>
        <w:t xml:space="preserve"> </w:t>
      </w:r>
      <w:r w:rsidR="009020E2" w:rsidRPr="00303ED2">
        <w:rPr>
          <w:rFonts w:ascii="Times New Roman" w:hAnsi="Times New Roman"/>
          <w:sz w:val="28"/>
          <w:szCs w:val="28"/>
        </w:rPr>
        <w:t>на</w:t>
      </w:r>
      <w:r w:rsidRPr="00303ED2">
        <w:rPr>
          <w:rFonts w:ascii="Times New Roman" w:hAnsi="Times New Roman"/>
          <w:sz w:val="28"/>
          <w:szCs w:val="28"/>
        </w:rPr>
        <w:t xml:space="preserve"> районных выставках, муниципальных конкурсах. Так же ежегодно по итогам муниципальных этапов отправляются работы детей на краевой этап по конкурсам «Таланты без границ» и «Мой флаг! Мой герб!»</w:t>
      </w:r>
    </w:p>
    <w:p w:rsidR="0022261B" w:rsidRPr="00303ED2" w:rsidRDefault="007C2C94" w:rsidP="0022261B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03ED2">
        <w:rPr>
          <w:sz w:val="28"/>
          <w:szCs w:val="28"/>
        </w:rPr>
        <w:t xml:space="preserve">В районе также действует МКОУ «Эвенкийский </w:t>
      </w:r>
      <w:proofErr w:type="spellStart"/>
      <w:r w:rsidRPr="00303ED2">
        <w:rPr>
          <w:sz w:val="28"/>
          <w:szCs w:val="28"/>
        </w:rPr>
        <w:t>этнопедагогический</w:t>
      </w:r>
      <w:proofErr w:type="spellEnd"/>
      <w:r w:rsidRPr="00303ED2">
        <w:rPr>
          <w:sz w:val="28"/>
          <w:szCs w:val="28"/>
        </w:rPr>
        <w:t xml:space="preserve"> центр», на базе которого организована</w:t>
      </w:r>
      <w:r w:rsidR="0022261B" w:rsidRPr="00303ED2">
        <w:rPr>
          <w:sz w:val="28"/>
          <w:szCs w:val="28"/>
        </w:rPr>
        <w:t xml:space="preserve"> муниципальн</w:t>
      </w:r>
      <w:r w:rsidRPr="00303ED2">
        <w:rPr>
          <w:sz w:val="28"/>
          <w:szCs w:val="28"/>
        </w:rPr>
        <w:t>ая</w:t>
      </w:r>
      <w:r w:rsidR="0022261B" w:rsidRPr="00303ED2">
        <w:rPr>
          <w:sz w:val="28"/>
          <w:szCs w:val="28"/>
        </w:rPr>
        <w:t xml:space="preserve"> методическ</w:t>
      </w:r>
      <w:r w:rsidRPr="00303ED2">
        <w:rPr>
          <w:sz w:val="28"/>
          <w:szCs w:val="28"/>
        </w:rPr>
        <w:t>ая</w:t>
      </w:r>
      <w:r w:rsidR="0022261B" w:rsidRPr="00303ED2">
        <w:rPr>
          <w:sz w:val="28"/>
          <w:szCs w:val="28"/>
        </w:rPr>
        <w:t xml:space="preserve"> служб</w:t>
      </w:r>
      <w:r w:rsidRPr="00303ED2">
        <w:rPr>
          <w:sz w:val="28"/>
          <w:szCs w:val="28"/>
        </w:rPr>
        <w:t>а, целью которой</w:t>
      </w:r>
      <w:r w:rsidR="0022261B" w:rsidRPr="00303ED2">
        <w:rPr>
          <w:sz w:val="28"/>
          <w:szCs w:val="28"/>
        </w:rPr>
        <w:t xml:space="preserve"> является содействие повышению качества образования в условиях его модернизации. </w:t>
      </w:r>
    </w:p>
    <w:p w:rsidR="0022261B" w:rsidRPr="00303ED2" w:rsidRDefault="0022261B" w:rsidP="00D9663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Методическая служба </w:t>
      </w:r>
      <w:proofErr w:type="spellStart"/>
      <w:r w:rsidRPr="00303ED2">
        <w:rPr>
          <w:rFonts w:ascii="Times New Roman" w:hAnsi="Times New Roman"/>
          <w:sz w:val="28"/>
          <w:szCs w:val="28"/>
        </w:rPr>
        <w:t>этнопедагогического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центра  </w:t>
      </w:r>
      <w:r w:rsidRPr="00303ED2">
        <w:rPr>
          <w:rFonts w:ascii="Times New Roman" w:hAnsi="Times New Roman"/>
          <w:bCs/>
          <w:sz w:val="28"/>
          <w:szCs w:val="28"/>
        </w:rPr>
        <w:t xml:space="preserve">сопровождает работу методических объединений  и </w:t>
      </w:r>
      <w:r w:rsidRPr="00303ED2">
        <w:rPr>
          <w:rFonts w:ascii="Times New Roman" w:hAnsi="Times New Roman"/>
          <w:sz w:val="28"/>
          <w:szCs w:val="28"/>
        </w:rPr>
        <w:t xml:space="preserve">поддерживает </w:t>
      </w:r>
      <w:r w:rsidRPr="00303ED2">
        <w:rPr>
          <w:rFonts w:ascii="Times New Roman" w:hAnsi="Times New Roman"/>
          <w:bCs/>
          <w:sz w:val="28"/>
          <w:szCs w:val="28"/>
        </w:rPr>
        <w:t>более  450 педагогов,  работающих в образовательных учреждениях Эвенкии.</w:t>
      </w:r>
    </w:p>
    <w:p w:rsidR="0022261B" w:rsidRPr="00303ED2" w:rsidRDefault="0022261B" w:rsidP="00D96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Активно работают созданные на базе школ п. Тура межшкольные методические объединения, творческие группы учителей начальных классов</w:t>
      </w:r>
      <w:r w:rsidRPr="00303ED2">
        <w:rPr>
          <w:rFonts w:ascii="Times New Roman" w:hAnsi="Times New Roman"/>
          <w:bCs/>
          <w:sz w:val="28"/>
          <w:szCs w:val="28"/>
        </w:rPr>
        <w:t xml:space="preserve"> по направлениям «Математика», «Русский язык», «</w:t>
      </w:r>
      <w:proofErr w:type="spellStart"/>
      <w:r w:rsidRPr="00303ED2">
        <w:rPr>
          <w:rFonts w:ascii="Times New Roman" w:hAnsi="Times New Roman"/>
          <w:bCs/>
          <w:sz w:val="28"/>
          <w:szCs w:val="28"/>
        </w:rPr>
        <w:t>Общеучебные</w:t>
      </w:r>
      <w:proofErr w:type="spellEnd"/>
      <w:r w:rsidRPr="00303ED2">
        <w:rPr>
          <w:rFonts w:ascii="Times New Roman" w:hAnsi="Times New Roman"/>
          <w:bCs/>
          <w:sz w:val="28"/>
          <w:szCs w:val="28"/>
        </w:rPr>
        <w:t xml:space="preserve"> умения»,</w:t>
      </w:r>
      <w:r w:rsidRPr="00303ED2">
        <w:rPr>
          <w:rFonts w:ascii="Times New Roman" w:hAnsi="Times New Roman"/>
          <w:sz w:val="28"/>
          <w:szCs w:val="28"/>
        </w:rPr>
        <w:t xml:space="preserve"> </w:t>
      </w:r>
      <w:r w:rsidRPr="00303ED2">
        <w:rPr>
          <w:rFonts w:ascii="Times New Roman" w:hAnsi="Times New Roman"/>
          <w:bCs/>
          <w:sz w:val="28"/>
          <w:szCs w:val="28"/>
        </w:rPr>
        <w:t xml:space="preserve"> творческая группа   </w:t>
      </w:r>
      <w:r w:rsidRPr="00303ED2">
        <w:rPr>
          <w:rFonts w:ascii="Times New Roman" w:hAnsi="Times New Roman"/>
          <w:sz w:val="28"/>
          <w:szCs w:val="28"/>
        </w:rPr>
        <w:t xml:space="preserve">педагогов-психологов. </w:t>
      </w:r>
    </w:p>
    <w:p w:rsidR="0022261B" w:rsidRPr="00303ED2" w:rsidRDefault="0022261B" w:rsidP="00D96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На базе </w:t>
      </w:r>
      <w:proofErr w:type="spellStart"/>
      <w:r w:rsidRPr="00303ED2">
        <w:rPr>
          <w:rFonts w:ascii="Times New Roman" w:hAnsi="Times New Roman"/>
          <w:sz w:val="28"/>
          <w:szCs w:val="28"/>
        </w:rPr>
        <w:t>Байкитского</w:t>
      </w:r>
      <w:proofErr w:type="spellEnd"/>
      <w:r w:rsidRPr="00303ED2">
        <w:rPr>
          <w:rFonts w:ascii="Times New Roman" w:hAnsi="Times New Roman"/>
          <w:sz w:val="28"/>
          <w:szCs w:val="28"/>
        </w:rPr>
        <w:t xml:space="preserve"> методического кабинета действуют  2 диалоговые площадки, целью работы которых является поэтапное  методическое сопровождение  внедрения новых  ФГОС в рамках дошкольного и начального образования  Байкитской группы ОУ ЭМР.</w:t>
      </w:r>
    </w:p>
    <w:p w:rsidR="0022261B" w:rsidRPr="00303ED2" w:rsidRDefault="0022261B" w:rsidP="00D966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Работу по организации и ведению вопросов подготовки аттестации педагогов района, по разработке олимпиадных заданий и организации школьного этапа олимпиады школьников  проводит Районный методический совет.</w:t>
      </w:r>
    </w:p>
    <w:p w:rsidR="0022261B" w:rsidRPr="00303ED2" w:rsidRDefault="00837FF4" w:rsidP="00D966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М</w:t>
      </w:r>
      <w:r w:rsidR="0022261B" w:rsidRPr="00303ED2">
        <w:rPr>
          <w:rFonts w:ascii="Times New Roman" w:hAnsi="Times New Roman"/>
          <w:sz w:val="28"/>
          <w:szCs w:val="28"/>
        </w:rPr>
        <w:t xml:space="preserve">етодические кабинеты </w:t>
      </w:r>
      <w:r w:rsidRPr="00303ED2">
        <w:rPr>
          <w:rFonts w:ascii="Times New Roman" w:hAnsi="Times New Roman"/>
          <w:sz w:val="28"/>
          <w:szCs w:val="28"/>
        </w:rPr>
        <w:t xml:space="preserve">на базе Туринской  и Байкитской СОШ </w:t>
      </w:r>
      <w:r w:rsidR="0022261B" w:rsidRPr="00303ED2">
        <w:rPr>
          <w:rFonts w:ascii="Times New Roman" w:hAnsi="Times New Roman"/>
          <w:sz w:val="28"/>
          <w:szCs w:val="28"/>
        </w:rPr>
        <w:t xml:space="preserve">организуют стажировки педагогов малокомплектных школ.  </w:t>
      </w:r>
    </w:p>
    <w:p w:rsidR="0022261B" w:rsidRPr="00303ED2" w:rsidRDefault="0022261B" w:rsidP="00D96633">
      <w:pPr>
        <w:pStyle w:val="a4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Исполнилось 5 лет Районному фестивалю педагогических идей «Открытый урок», «Мой лучший мастер-класс». В прошедшем учебном году 26 педагогов образовательных учреждений района стали его участниками, на сайт выставлены 29 материалов из опыта их работы.  </w:t>
      </w:r>
    </w:p>
    <w:p w:rsidR="0022261B" w:rsidRPr="00303ED2" w:rsidRDefault="0022261B" w:rsidP="0022261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>На сайте «Образование в Эвенкии» размещено более 60 материалов под рубрикой «Методическая служба сообщает!», подготовленных методистами кабинетов ЭПЦ.</w:t>
      </w:r>
    </w:p>
    <w:p w:rsidR="0022261B" w:rsidRPr="00303ED2" w:rsidRDefault="0022261B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bCs/>
          <w:sz w:val="28"/>
          <w:szCs w:val="28"/>
        </w:rPr>
        <w:t xml:space="preserve">Кабинетом  ИКТ  ведётся мониторинг  информационных потребностей </w:t>
      </w:r>
      <w:r w:rsidR="00837FF4" w:rsidRPr="00303ED2">
        <w:rPr>
          <w:rFonts w:ascii="Times New Roman" w:hAnsi="Times New Roman"/>
          <w:bCs/>
          <w:sz w:val="28"/>
          <w:szCs w:val="28"/>
        </w:rPr>
        <w:t xml:space="preserve">образовательных организаций </w:t>
      </w:r>
      <w:r w:rsidRPr="00303ED2">
        <w:rPr>
          <w:rFonts w:ascii="Times New Roman" w:hAnsi="Times New Roman"/>
          <w:bCs/>
          <w:sz w:val="28"/>
          <w:szCs w:val="28"/>
        </w:rPr>
        <w:t>района, мониторинг  обеспеченности учебным оборудованием для реализации ФГОС в школе</w:t>
      </w:r>
      <w:r w:rsidR="00837FF4" w:rsidRPr="00303ED2">
        <w:rPr>
          <w:rFonts w:ascii="Times New Roman" w:hAnsi="Times New Roman"/>
          <w:bCs/>
          <w:sz w:val="28"/>
          <w:szCs w:val="28"/>
        </w:rPr>
        <w:t>.</w:t>
      </w:r>
    </w:p>
    <w:p w:rsidR="0022261B" w:rsidRPr="00303ED2" w:rsidRDefault="0022261B" w:rsidP="00D96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С целью оказания методической помощи </w:t>
      </w:r>
      <w:r w:rsidR="00837FF4" w:rsidRPr="00303ED2">
        <w:rPr>
          <w:rFonts w:ascii="Times New Roman" w:hAnsi="Times New Roman"/>
          <w:sz w:val="28"/>
          <w:szCs w:val="28"/>
        </w:rPr>
        <w:t xml:space="preserve">педагогам ежегодно </w:t>
      </w:r>
      <w:r w:rsidRPr="00303ED2">
        <w:rPr>
          <w:rFonts w:ascii="Times New Roman" w:hAnsi="Times New Roman"/>
          <w:sz w:val="28"/>
          <w:szCs w:val="28"/>
        </w:rPr>
        <w:t>методистами службы пров</w:t>
      </w:r>
      <w:r w:rsidR="00837FF4" w:rsidRPr="00303ED2">
        <w:rPr>
          <w:rFonts w:ascii="Times New Roman" w:hAnsi="Times New Roman"/>
          <w:sz w:val="28"/>
          <w:szCs w:val="28"/>
        </w:rPr>
        <w:t>о</w:t>
      </w:r>
      <w:r w:rsidRPr="00303ED2">
        <w:rPr>
          <w:rFonts w:ascii="Times New Roman" w:hAnsi="Times New Roman"/>
          <w:sz w:val="28"/>
          <w:szCs w:val="28"/>
        </w:rPr>
        <w:t>д</w:t>
      </w:r>
      <w:r w:rsidR="00837FF4" w:rsidRPr="00303ED2">
        <w:rPr>
          <w:rFonts w:ascii="Times New Roman" w:hAnsi="Times New Roman"/>
          <w:sz w:val="28"/>
          <w:szCs w:val="28"/>
        </w:rPr>
        <w:t>ятся</w:t>
      </w:r>
      <w:r w:rsidRPr="00303ED2">
        <w:rPr>
          <w:rFonts w:ascii="Times New Roman" w:hAnsi="Times New Roman"/>
          <w:sz w:val="28"/>
          <w:szCs w:val="28"/>
        </w:rPr>
        <w:t xml:space="preserve"> мероприятия на базе  школ.</w:t>
      </w:r>
    </w:p>
    <w:p w:rsidR="0022261B" w:rsidRPr="00303ED2" w:rsidRDefault="0022261B" w:rsidP="00D96633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pacing w:val="3"/>
          <w:sz w:val="28"/>
          <w:szCs w:val="28"/>
        </w:rPr>
        <w:t xml:space="preserve">На основании проведённого анализа библиотечных фондов учебников и выявленных дефицитов методистом </w:t>
      </w:r>
      <w:r w:rsidRPr="00303ED2">
        <w:rPr>
          <w:rFonts w:ascii="Times New Roman" w:hAnsi="Times New Roman"/>
          <w:sz w:val="28"/>
          <w:szCs w:val="28"/>
        </w:rPr>
        <w:t xml:space="preserve">по библиотечному фонду </w:t>
      </w:r>
      <w:r w:rsidRPr="00303ED2">
        <w:rPr>
          <w:rFonts w:ascii="Times New Roman" w:hAnsi="Times New Roman"/>
          <w:spacing w:val="3"/>
          <w:sz w:val="28"/>
          <w:szCs w:val="28"/>
        </w:rPr>
        <w:t xml:space="preserve">формируется </w:t>
      </w:r>
      <w:r w:rsidRPr="00303ED2">
        <w:rPr>
          <w:rFonts w:ascii="Times New Roman" w:hAnsi="Times New Roman"/>
          <w:sz w:val="28"/>
          <w:szCs w:val="28"/>
        </w:rPr>
        <w:t>муниципальный заказ на учебники.</w:t>
      </w:r>
    </w:p>
    <w:p w:rsidR="0022261B" w:rsidRPr="00303ED2" w:rsidRDefault="0022261B" w:rsidP="00D966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lastRenderedPageBreak/>
        <w:t xml:space="preserve">Главным  направлением деятельности методических кабинетов   остаётся  методическое и информационное сопровождение  введения новых ФГОС. </w:t>
      </w:r>
    </w:p>
    <w:p w:rsidR="0022261B" w:rsidRPr="00303ED2" w:rsidRDefault="0022261B" w:rsidP="00D966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По заявленным проблемам и вопросам, поступающим от педагогов,   формируются  и направляются в ОУ методические материалы по организации урочной и внеурочной деятельности. </w:t>
      </w:r>
    </w:p>
    <w:p w:rsidR="0022261B" w:rsidRPr="00303ED2" w:rsidRDefault="0022261B" w:rsidP="00D9663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 xml:space="preserve">Трудности, возникающие в работе учителей и воспитателей,  являются ориентирами в работе методистов. </w:t>
      </w:r>
    </w:p>
    <w:p w:rsidR="0022261B" w:rsidRPr="00303ED2" w:rsidRDefault="0022261B" w:rsidP="00D96633">
      <w:pPr>
        <w:spacing w:after="0" w:line="240" w:lineRule="auto"/>
        <w:ind w:firstLine="706"/>
        <w:jc w:val="both"/>
        <w:rPr>
          <w:rFonts w:ascii="Times New Roman" w:hAnsi="Times New Roman"/>
          <w:bCs/>
          <w:sz w:val="28"/>
          <w:szCs w:val="28"/>
        </w:rPr>
      </w:pPr>
      <w:r w:rsidRPr="00303ED2">
        <w:rPr>
          <w:rFonts w:ascii="Times New Roman" w:hAnsi="Times New Roman"/>
          <w:sz w:val="28"/>
          <w:szCs w:val="28"/>
        </w:rPr>
        <w:tab/>
      </w:r>
      <w:r w:rsidRPr="00303ED2">
        <w:rPr>
          <w:rFonts w:ascii="Times New Roman" w:hAnsi="Times New Roman"/>
          <w:bCs/>
          <w:sz w:val="28"/>
          <w:szCs w:val="28"/>
        </w:rPr>
        <w:t>Методическим объединениям предстоит  также проанализировать результаты ГИА выпускников школ и включить в планы своей будущей работы  знакомство с опытом работы над сложными темами программы.</w:t>
      </w:r>
    </w:p>
    <w:p w:rsidR="00D96633" w:rsidRPr="00D96633" w:rsidRDefault="00D96633" w:rsidP="00D9663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F4DC2" w:rsidRDefault="000F4DC2" w:rsidP="00D9663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96633">
        <w:rPr>
          <w:rFonts w:ascii="Times New Roman" w:hAnsi="Times New Roman"/>
          <w:b/>
          <w:bCs/>
          <w:sz w:val="28"/>
          <w:szCs w:val="28"/>
        </w:rPr>
        <w:t>Выводы и заключения.</w:t>
      </w:r>
    </w:p>
    <w:p w:rsidR="00D96633" w:rsidRPr="00BD2093" w:rsidRDefault="00D96633" w:rsidP="00BD20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ED2" w:rsidRDefault="00303ED2" w:rsidP="00D96633">
      <w:pPr>
        <w:spacing w:after="0" w:line="240" w:lineRule="auto"/>
        <w:ind w:firstLine="360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303ED2">
        <w:rPr>
          <w:rFonts w:ascii="Times New Roman" w:hAnsi="Times New Roman"/>
          <w:bCs/>
          <w:sz w:val="28"/>
          <w:szCs w:val="28"/>
        </w:rPr>
        <w:t xml:space="preserve">По результатам анализа управление системы образованием ставит </w:t>
      </w:r>
      <w:r w:rsidRPr="00303ED2">
        <w:rPr>
          <w:rFonts w:ascii="Times New Roman" w:eastAsia="Arial Unicode MS" w:hAnsi="Times New Roman"/>
          <w:b/>
          <w:sz w:val="28"/>
          <w:szCs w:val="28"/>
        </w:rPr>
        <w:t>Ряд ключевых задач на предстоящий учебный год: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 xml:space="preserve">Обеспечить открытость и качество дошкольного образования путем организации развивающей предметно-пространственной среды в соответствии с требованиями ФГОС </w:t>
      </w:r>
      <w:proofErr w:type="gramStart"/>
      <w:r w:rsidRPr="00D96633">
        <w:rPr>
          <w:rFonts w:ascii="Times New Roman" w:eastAsia="Arial Unicode MS" w:hAnsi="Times New Roman"/>
          <w:sz w:val="28"/>
          <w:szCs w:val="28"/>
        </w:rPr>
        <w:t>ДО</w:t>
      </w:r>
      <w:proofErr w:type="gramEnd"/>
      <w:r w:rsidRPr="00D96633">
        <w:rPr>
          <w:rFonts w:ascii="Times New Roman" w:eastAsia="Arial Unicode MS" w:hAnsi="Times New Roman"/>
          <w:sz w:val="28"/>
          <w:szCs w:val="28"/>
        </w:rPr>
        <w:t>;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Продолжить развитие системы независимой оценки качества образования через разработку и внедрение инструментов оценки и анализа результатов;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Обеспечить методическое сопровождение педагогов в связи с введением ФГОС;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Продолжить работу по развитию  системы действенной помощи в профессиональном самоопределении учащихся;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Продолжить работу по внедрение комплекса ГТО;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Сохранить  уровень  охвата детей различными формами летнего отдыха;</w:t>
      </w:r>
    </w:p>
    <w:p w:rsidR="00D96633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Активизировать работу по содействию снижению уровня неблагополучия несовершеннолетних в районе;</w:t>
      </w:r>
    </w:p>
    <w:p w:rsidR="00D96633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sz w:val="28"/>
          <w:szCs w:val="28"/>
        </w:rPr>
        <w:t>Не снижать уровня охвата учащихся различными мероприятиями (муниципальный уровень, краевой уровень);</w:t>
      </w:r>
    </w:p>
    <w:p w:rsidR="00303ED2" w:rsidRPr="00D96633" w:rsidRDefault="00303ED2" w:rsidP="00D9663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D96633">
        <w:rPr>
          <w:rFonts w:ascii="Times New Roman" w:eastAsia="Arial Unicode MS" w:hAnsi="Times New Roman"/>
          <w:kern w:val="32"/>
          <w:sz w:val="28"/>
          <w:szCs w:val="28"/>
          <w:lang w:eastAsia="ru-RU"/>
        </w:rPr>
        <w:t>Продолжать реализацию мероприятий направленных на выявление и поддержку одаренных учащихся.</w:t>
      </w:r>
    </w:p>
    <w:p w:rsidR="00837FF4" w:rsidRPr="00303ED2" w:rsidRDefault="00837FF4" w:rsidP="00837FF4">
      <w:pPr>
        <w:jc w:val="both"/>
        <w:rPr>
          <w:rFonts w:ascii="Times New Roman" w:hAnsi="Times New Roman"/>
          <w:bCs/>
          <w:sz w:val="28"/>
          <w:szCs w:val="28"/>
        </w:rPr>
      </w:pPr>
    </w:p>
    <w:p w:rsidR="000F4DC2" w:rsidRPr="00BD2093" w:rsidRDefault="00BD2093" w:rsidP="00BD20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Показатели мониторинга системы образования.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6"/>
        <w:gridCol w:w="5564"/>
        <w:gridCol w:w="1626"/>
        <w:gridCol w:w="1395"/>
      </w:tblGrid>
      <w:tr w:rsidR="00DB1E28" w:rsidRPr="00A65CCB" w:rsidTr="00DB1E28">
        <w:trPr>
          <w:trHeight w:val="721"/>
        </w:trPr>
        <w:tc>
          <w:tcPr>
            <w:tcW w:w="986" w:type="dxa"/>
            <w:noWrap/>
            <w:hideMark/>
          </w:tcPr>
          <w:p w:rsidR="00DB1E28" w:rsidRPr="00A65CCB" w:rsidRDefault="00DB1E28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564" w:type="dxa"/>
            <w:noWrap/>
            <w:hideMark/>
          </w:tcPr>
          <w:p w:rsidR="00DB1E28" w:rsidRPr="00A65CCB" w:rsidRDefault="00DB1E28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Раздел/подраздел</w:t>
            </w:r>
            <w:proofErr w:type="gramEnd"/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/показатель</w:t>
            </w:r>
          </w:p>
        </w:tc>
        <w:tc>
          <w:tcPr>
            <w:tcW w:w="1626" w:type="dxa"/>
            <w:hideMark/>
          </w:tcPr>
          <w:p w:rsidR="00DB1E28" w:rsidRPr="00A65CCB" w:rsidRDefault="00DB1E28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395" w:type="dxa"/>
            <w:hideMark/>
          </w:tcPr>
          <w:p w:rsidR="00DB1E28" w:rsidRPr="00A65CCB" w:rsidRDefault="00DB1E28" w:rsidP="00DB1E28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Значение 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8585" w:type="dxa"/>
            <w:gridSpan w:val="3"/>
            <w:hideMark/>
          </w:tcPr>
          <w:p w:rsidR="00A65CCB" w:rsidRPr="00A65CCB" w:rsidRDefault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DB1E28" w:rsidRPr="00A65CCB" w:rsidTr="00DB1E28">
        <w:trPr>
          <w:trHeight w:val="220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воспитанников в возрасте 3 - 6 лет (число полных лет)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957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 в возрасте 3 - 6 лет (число полных лет), стоящих на учете для определения в дошкольные образовательные организации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220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1.1.2.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68.2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воспитанников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1309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 в возрасте от 2 месяцев (численность детей в возрасте от 2 месяцев до 1 года принимается как 10/12 численности детей в возрасте до 1 года)  до 7 лет (включительно), проживающих на территории муниципального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2435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 в возрасте от 5 до 7 лет (включительно), обучающихся в образовательных организациях, реализующих образовательные программы начального общего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воспитанников частных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1.2.1.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воспитанников образовательных организаций (включая филиалы), реализующих образовательные программы дошкольного образования, обучающихся в группах кратковременного пребывания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1.3.1.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9.03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1.4.1.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площадь помещений, реально используемых непосредственно для нужд дошкольных образовательных организаций (включая филиалы; без учета организаций, деятельность которых приостановлена; без учета площади помещений, сданных в аренду (субаренду))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12361.4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1.4.2.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водоснабжение;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канализацию.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филиалы), имеющих водоснабжение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филиалы), имеющих центральное отопление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филиалы), имеющих канализацию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1.4.3.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54.5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филиалы), имеющих физкультурные залы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1.4.4.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филиалы), имеющих закрытые плавательные бассейны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1.4.5.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0.1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персональных компьютеров в дошкольных образовательных организациях, с учетом находящихся на капитальном ремонте (включая филиалы), доступных для использования детьми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воспитанников дошкольных образовательных организаций (включая филиалы) в возрасте 3 года и старше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1.5.1.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 с ограниченными возможностями здоровья, обучающихся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1.5.2.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детей-инвалидов, обучающихся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1.6.1.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дней, пропущенных воспитанниками образовательных организаций (включая филиалы), реализующих образовательные программы дошкольного образования, по болезни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23317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Среднегодовая численность воспитанников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964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1.7.1.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Темп роста числа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(без учета филиалов), по состоянию на 01.01.2013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(без учета филиалов), по состоянию на 01.01.2014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1.8.1.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финансовых средств, поступивших в дошкольные образовательные организации, в расчете на одного воспитанника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331.7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финансирования дошкольных образовательных организаций (включая филиалы)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319806.2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1.8.2.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Объем финансовых средств от приносящей доход деятельности (внебюджетных средств), поступивших в дошкольные образовательные организации (включая филиалы)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1.9.1.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с учетом находящихся на капитальном ремонте (включая филиалы), здания которых находятся в аварийном состоянии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1.9.2.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22.7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дошкольных образовательных организаций (включая филиалы), здания которых требуют капитально ремонта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83.1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7-17 лет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2752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2286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вечерних (сменных) общеобразовательных организаций (включая филиалы)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в отделениях на базе основного общего образования образовательных организаций, реализующих образовательные программы среднего профессионального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обучающихся, осваивающих образовательные программы на базе основного общего образования в образовательных организациях, реализующих образовательные программы среднего профессионального образования</w:t>
            </w:r>
            <w:proofErr w:type="gramEnd"/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315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2286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2.2.1.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лиц, занимающихся во вторую и третью смены, в общей численности учащихся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занимающихся во вторую </w:t>
            </w: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смену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занимающихся в третью смену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2.2.2.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220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с углубленным изучением отдельных предметов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2.3.1.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2.3.2.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23.2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 в возрасте до 35 лет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численность учителей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2.4.1.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14.6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площадь помещений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31428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площадь помещений вечерних (сменных) общеобразовательных организаций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учащихся вечерних (сменных) общеобразовательных организаций (включая филиалы), обучающихся по очной форме обучения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учащихся вечерних (сменных) общеобразовательных организаций (включая филиалы), обучающихся по заочной форме обучения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2.4.2.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водопровод;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канализацию.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 образовательных организаций (включая филиалы)</w:t>
            </w:r>
            <w:proofErr w:type="gramEnd"/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водопровод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центральное отопление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канализацию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водопровод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центральное отопление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канализацию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2.4.3.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17.7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доступ к Интернету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компьютеров, используемых в учебных целях, в общеобразовательных организациях (включая филиалы; без учета находящихся на капитальном ремонте; без вечерних (сменных) общеобразовательных организаций)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компьютеров, используемых в учебных целях, имеющих доступ к Интернету, в общеобразовательных организациях (включая филиалы; без учета находящихся на капитальном ремонте; без вечерних (сменных) общеобразовательных организаций)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компьютеров, используемых в учебных целях, в вечерних (сменных) общеобразовательных организациях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компьютеров, используемых в учебных целях, имеющих доступ к Интернету, в вечерних (сменных) общеобразовательных организациях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2.4.4.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и выше, 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скорость подключения к сети Интернет от 1 Мбит/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скорость подключения к сети Интернет от 1 Мбит/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220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2.5.1.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378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Численность обучающихся с ограниченными возможностями здоровья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Показывается численность обучающихся в образовательных организациях, исключая специальные (коррекционные) образовательные организации и классы для обучающихся, воспитанников с ограниченными возможностями здоровья</w:t>
            </w:r>
            <w:proofErr w:type="gramEnd"/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</w:t>
            </w:r>
            <w:proofErr w:type="gramEnd"/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2.5.2.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378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Численность детей-инвалидов, обучающихся 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детей-инвалидов, обучающихся в образовательных организациях, исключая специальные (коррекционные) образовательные организации и классы для обучающихся, воспитанников с </w:t>
            </w: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ограниченными возможностями здоровья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2.6.3.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по математике;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14,88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24.60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Среднее значение тестовых баллов, полученных выпускниками, завершившими 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основного общего образования, по результатам ГИА по математике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14,88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Среднее значение тестовых баллов, полученных выпускниками, завершившими </w:t>
            </w: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обучение по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образовательным программам основного общего образования, по результатам ГИА по русскому языку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24.60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2.6.5.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по математике;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16.48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65CC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19.23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Доля получивших ниже минимального количества баллов среди выпускников 9-х классов образовательных организаций, реализующих образовательные программы основного общего образования по результатам ГИА по математике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16.48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Доля получивших ниже минимального количества баллов среди выпускников 9-х классов образовательных организаций, реализующих образовательные программы основного общего образования по результатам ГИА по русскому языку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19.23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2.7.1.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99.2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общеобразовательных организаций (включая филиалы; за исключением вечерних (сменных) общеобразовательных организаций), пользующихся горячим питанием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2267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обучающихся вечерних (сменных) общеобразовательных организаций (включая филиалы), пользующихся горячим питанием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2.7.2.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филиалы), имеющих логопедический пункт или логопедический кабинет (без вечерних (сменных) общеобразовательных организаций)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2.7.3.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61.9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Число общеобразовательных организаций (включая филиалы; без учета находящихся на капитальном ремонте; без вечерних (сменных) общеобразовательных </w:t>
            </w: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организаций), имеющих физкультурные залы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физкультурные залы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2.7.4.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плавательные бассейны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плавательные бассейны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2.8.1.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Темп роста числа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по состоянию на 01.01.2013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 образовательных организаций (включая филиалы), по состоянию на 01.01.2013</w:t>
            </w:r>
            <w:proofErr w:type="gramEnd"/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2.9.1.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236.8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Объем финансирования государственных и муниципальных общеобразовательных организаций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541294.3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Объем финансирования частных общеобразовательных организаций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Среднегодовая численность учащихся государственных и муниципальных общеобразовательных организаций (включая филиалы)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2286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Среднегодовая численность учащихся частных общеобразовательных организаций (включая филиалы)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2.9.2.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Объем средств от приносящей доход деятельности (внебюджетных средств), поступивших в государственные и муниципальные общеобразовательные организации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Объем средств от приносящей доход деятельности (внебюджетных средств), поступивших в частные общеобразовательные организации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финансирования государственных и муниципальных общеобразовательных организаций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541594.3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финансирования частных общеобразовательных организаций (включая филиалы)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2.10.1.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пожарные краны и рукава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пожарные краны и рукава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2.10.2.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Удельный вес числа организаций, имеющих дымовые </w:t>
            </w:r>
            <w:proofErr w:type="spellStart"/>
            <w:r w:rsidRPr="00A65CCB">
              <w:rPr>
                <w:rFonts w:ascii="Times New Roman" w:hAnsi="Times New Roman"/>
                <w:sz w:val="28"/>
                <w:szCs w:val="28"/>
              </w:rPr>
              <w:t>извещатели</w:t>
            </w:r>
            <w:proofErr w:type="spellEnd"/>
            <w:r w:rsidRPr="00A65CCB">
              <w:rPr>
                <w:rFonts w:ascii="Times New Roman" w:hAnsi="Times New Roman"/>
                <w:sz w:val="28"/>
                <w:szCs w:val="28"/>
              </w:rPr>
              <w:t>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76.2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Число общеобразовательных организаций (включая филиалы; без учета находящихся на капитальном ремонте; без вечерних (сменных) общеобразовательных </w:t>
            </w: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организаций), имеющих дымовые </w:t>
            </w:r>
            <w:proofErr w:type="spellStart"/>
            <w:r w:rsidRPr="00A65CCB">
              <w:rPr>
                <w:rFonts w:ascii="Times New Roman" w:hAnsi="Times New Roman"/>
                <w:sz w:val="28"/>
                <w:szCs w:val="28"/>
              </w:rPr>
              <w:t>извещатели</w:t>
            </w:r>
            <w:proofErr w:type="spellEnd"/>
            <w:proofErr w:type="gramEnd"/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Число вечерних (сменных) общеобразовательных организаций (включая филиалы), имеющих дымовые </w:t>
            </w:r>
            <w:proofErr w:type="spellStart"/>
            <w:r w:rsidRPr="00A65CCB">
              <w:rPr>
                <w:rFonts w:ascii="Times New Roman" w:hAnsi="Times New Roman"/>
                <w:sz w:val="28"/>
                <w:szCs w:val="28"/>
              </w:rPr>
              <w:t>извещатели</w:t>
            </w:r>
            <w:proofErr w:type="spellEnd"/>
            <w:proofErr w:type="gramEnd"/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2.10.3.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47.6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"тревожную кнопку"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"тревожную кнопку"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2.10.4.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52.4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охрану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имеющих охрану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2.10.5.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42.9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имеющих систему видеонаблюдения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Число вечерних (сменных) общеобразовательных организаций (включая филиалы), имеющих систему </w:t>
            </w: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видеонаблюдения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2.10.6.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здания которых находятся в аварийном состоянии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здания которых находятся в аварийном состоянии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2.10.7.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здания которых требуют капитального ремонта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вечерних (сменных) общеобразовательных организаций (включая филиалы), здания которых требуют капитального ремонта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5.1.1.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 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51.9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детей, обучающихся в образовательных организациях дополнительного образования (включая филиалы)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858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Численность детей, обучающихся в образовательных организациях дополнительного образования (включая </w:t>
            </w: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филиалы) - в музыкальных, художественных, хореографических школах и школах искусств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343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детей, обучающихся в образовательных организациях дополнительного образования (включая филиалы) - в детских, юношеских спортивных школах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населения в возрасте 5 - 18 лет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3183</w:t>
            </w:r>
          </w:p>
        </w:tc>
      </w:tr>
      <w:tr w:rsidR="00DB1E28" w:rsidRPr="00A65CCB" w:rsidTr="00DB1E28">
        <w:trPr>
          <w:trHeight w:val="283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5.2.1.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 Виды деятельности: 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72.7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27.3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военно-патриотическая и спортивно-техническая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по видам образовательной деятельности: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1651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1201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эколого-биологическая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техническая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спортивная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военно-патриотическая и спортивно-техническая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5.4.1.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Общая площадь всех помещений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квадратный метр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4523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5.4.2.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водопровод;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83.3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канализацию.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водопровод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центральное отопление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канализацию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системы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музыкальных, художественных, хореографических школ и школ искусств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детских, юношеских спортивных школ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5.4.3.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всего;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0.9</w:t>
            </w:r>
          </w:p>
        </w:tc>
      </w:tr>
      <w:tr w:rsidR="00DB1E28" w:rsidRPr="00A65CCB" w:rsidTr="00DB1E28">
        <w:trPr>
          <w:trHeight w:val="31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5CCB">
              <w:rPr>
                <w:rFonts w:ascii="Times New Roman" w:hAnsi="Times New Roman"/>
                <w:sz w:val="28"/>
                <w:szCs w:val="28"/>
              </w:rPr>
              <w:t>имеющих</w:t>
            </w:r>
            <w:proofErr w:type="gramEnd"/>
            <w:r w:rsidRPr="00A65CCB">
              <w:rPr>
                <w:rFonts w:ascii="Times New Roman" w:hAnsi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0.8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персональных компьютеров, используемых в учебных целях, в образовательных организациях дополнительного образования (включая филиалы), реализующих дополнительные общеобразовательные программы для детей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персональных компьютеров, используемых в учебных целях, имеющих доступ к Интернету, в образовательных организациях дополнительного образования (включая филиалы), реализующих дополнительные общеобразовательные программы для детей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5.5.1.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системы образования, по состоянию на 01.01.2013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музыкальных, художественных, хореографических школ и школ искусств, по состоянию на 01.01.2013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1E28" w:rsidRPr="00A65CCB" w:rsidTr="00DB1E28">
        <w:trPr>
          <w:trHeight w:val="63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детских, юношеских спортивных школ, по состоянию на 01.01.2013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5.6.1.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23.9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39474.6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5.6.2.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89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Объем средств от приносящей доход деятельности (внебюджетных средств), поступивших в образовательные организации дополнительного образования (включая филиалы), реализующие дополнительные общеобразовательные программы для детей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5.7.1.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16.7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организаций дополнительного образования, реализующих дополнительные общеобразовательные программы для детей, имеющих филиалы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5.8.1.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пожарные краны и рукава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5.8.2.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Удельный вес числа организаций, имеющих дымовые </w:t>
            </w:r>
            <w:proofErr w:type="spellStart"/>
            <w:r w:rsidRPr="00A65CCB">
              <w:rPr>
                <w:rFonts w:ascii="Times New Roman" w:hAnsi="Times New Roman"/>
                <w:sz w:val="28"/>
                <w:szCs w:val="28"/>
              </w:rPr>
              <w:t>извещатели</w:t>
            </w:r>
            <w:proofErr w:type="spellEnd"/>
            <w:r w:rsidRPr="00A65CCB">
              <w:rPr>
                <w:rFonts w:ascii="Times New Roman" w:hAnsi="Times New Roman"/>
                <w:sz w:val="28"/>
                <w:szCs w:val="28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 xml:space="preserve"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дымовые </w:t>
            </w:r>
            <w:proofErr w:type="spellStart"/>
            <w:r w:rsidRPr="00A65CCB">
              <w:rPr>
                <w:rFonts w:ascii="Times New Roman" w:hAnsi="Times New Roman"/>
                <w:sz w:val="28"/>
                <w:szCs w:val="28"/>
              </w:rPr>
              <w:t>извещатели</w:t>
            </w:r>
            <w:proofErr w:type="spellEnd"/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5.8.3.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здания которых находятся в аварийном состоянии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5.8.4.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B1E28" w:rsidRPr="00A65CCB" w:rsidTr="00DB1E28">
        <w:trPr>
          <w:trHeight w:val="1260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здания которых требуют капитального ремонта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B1E28" w:rsidRPr="00A65CCB" w:rsidTr="00DB1E28">
        <w:trPr>
          <w:trHeight w:val="945"/>
        </w:trPr>
        <w:tc>
          <w:tcPr>
            <w:tcW w:w="98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65CCB">
              <w:rPr>
                <w:rFonts w:ascii="Times New Roman" w:hAnsi="Times New Roman"/>
                <w:sz w:val="28"/>
                <w:szCs w:val="28"/>
              </w:rPr>
              <w:t>10.3.2.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1626" w:type="dxa"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209.5</w:t>
            </w:r>
          </w:p>
        </w:tc>
      </w:tr>
      <w:tr w:rsidR="00DB1E28" w:rsidRPr="00A65CCB" w:rsidTr="00DB1E28">
        <w:trPr>
          <w:trHeight w:val="1575"/>
        </w:trPr>
        <w:tc>
          <w:tcPr>
            <w:tcW w:w="986" w:type="dxa"/>
            <w:noWrap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564" w:type="dxa"/>
            <w:hideMark/>
          </w:tcPr>
          <w:p w:rsidR="00A65CCB" w:rsidRPr="00A65CCB" w:rsidRDefault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организаций), в которых созданы коллегиальные органы управления с участием общественности</w:t>
            </w:r>
          </w:p>
        </w:tc>
        <w:tc>
          <w:tcPr>
            <w:tcW w:w="1626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</w:tc>
        <w:tc>
          <w:tcPr>
            <w:tcW w:w="1395" w:type="dxa"/>
            <w:noWrap/>
            <w:hideMark/>
          </w:tcPr>
          <w:p w:rsidR="00A65CCB" w:rsidRPr="00A65CCB" w:rsidRDefault="00A65CCB" w:rsidP="00A65CCB">
            <w:pPr>
              <w:rPr>
                <w:rFonts w:ascii="Times New Roman" w:hAnsi="Times New Roman"/>
                <w:sz w:val="28"/>
                <w:szCs w:val="28"/>
              </w:rPr>
            </w:pPr>
            <w:r w:rsidRPr="00A65CC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22261B" w:rsidRPr="00303ED2" w:rsidRDefault="0022261B" w:rsidP="0022261B">
      <w:pPr>
        <w:rPr>
          <w:rFonts w:ascii="Times New Roman" w:hAnsi="Times New Roman"/>
          <w:sz w:val="28"/>
          <w:szCs w:val="28"/>
        </w:rPr>
      </w:pPr>
    </w:p>
    <w:p w:rsidR="0068658A" w:rsidRPr="00303ED2" w:rsidRDefault="0068658A">
      <w:pPr>
        <w:rPr>
          <w:rFonts w:ascii="Times New Roman" w:hAnsi="Times New Roman"/>
          <w:sz w:val="28"/>
          <w:szCs w:val="28"/>
        </w:rPr>
      </w:pPr>
    </w:p>
    <w:sectPr w:rsidR="0068658A" w:rsidRPr="00303ED2" w:rsidSect="00DA0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FF7"/>
    <w:multiLevelType w:val="hybridMultilevel"/>
    <w:tmpl w:val="8B5CBFB2"/>
    <w:lvl w:ilvl="0" w:tplc="D7A0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604B"/>
    <w:multiLevelType w:val="hybridMultilevel"/>
    <w:tmpl w:val="EDE61B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677B"/>
    <w:multiLevelType w:val="hybridMultilevel"/>
    <w:tmpl w:val="E3F8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327B8"/>
    <w:multiLevelType w:val="hybridMultilevel"/>
    <w:tmpl w:val="F20C6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07BCB"/>
    <w:multiLevelType w:val="hybridMultilevel"/>
    <w:tmpl w:val="1F1A78EC"/>
    <w:lvl w:ilvl="0" w:tplc="336AD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58A"/>
    <w:rsid w:val="00034C57"/>
    <w:rsid w:val="000D6B9F"/>
    <w:rsid w:val="000F4DC2"/>
    <w:rsid w:val="00136E54"/>
    <w:rsid w:val="0022261B"/>
    <w:rsid w:val="0023495A"/>
    <w:rsid w:val="00295D6C"/>
    <w:rsid w:val="00303ED2"/>
    <w:rsid w:val="00413D30"/>
    <w:rsid w:val="004E25C5"/>
    <w:rsid w:val="005162F1"/>
    <w:rsid w:val="006272AB"/>
    <w:rsid w:val="0068658A"/>
    <w:rsid w:val="007911D7"/>
    <w:rsid w:val="007C2C94"/>
    <w:rsid w:val="00826996"/>
    <w:rsid w:val="00837FF4"/>
    <w:rsid w:val="00857C24"/>
    <w:rsid w:val="00870B35"/>
    <w:rsid w:val="009020E2"/>
    <w:rsid w:val="00A31718"/>
    <w:rsid w:val="00A57A27"/>
    <w:rsid w:val="00A65CCB"/>
    <w:rsid w:val="00B0499C"/>
    <w:rsid w:val="00B31D03"/>
    <w:rsid w:val="00BB02F0"/>
    <w:rsid w:val="00BC46C0"/>
    <w:rsid w:val="00BD2093"/>
    <w:rsid w:val="00CA4DC9"/>
    <w:rsid w:val="00D053A2"/>
    <w:rsid w:val="00D70CFD"/>
    <w:rsid w:val="00D96633"/>
    <w:rsid w:val="00DA0806"/>
    <w:rsid w:val="00DA727F"/>
    <w:rsid w:val="00DB1E28"/>
    <w:rsid w:val="00DC6848"/>
    <w:rsid w:val="00E34FB8"/>
    <w:rsid w:val="00E41EB7"/>
    <w:rsid w:val="00EC0502"/>
    <w:rsid w:val="00F02EA2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4DC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5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226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2261B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rsid w:val="0022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4D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C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5CCB"/>
    <w:rPr>
      <w:color w:val="800080"/>
      <w:u w:val="single"/>
    </w:rPr>
  </w:style>
  <w:style w:type="paragraph" w:customStyle="1" w:styleId="xl65">
    <w:name w:val="xl65"/>
    <w:basedOn w:val="a"/>
    <w:rsid w:val="00A65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5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65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65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A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8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F4DC2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95A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2226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2261B"/>
    <w:rPr>
      <w:rFonts w:ascii="Consolas" w:eastAsia="Calibri" w:hAnsi="Consolas" w:cs="Times New Roman"/>
      <w:sz w:val="21"/>
      <w:szCs w:val="21"/>
    </w:rPr>
  </w:style>
  <w:style w:type="paragraph" w:styleId="a6">
    <w:name w:val="Normal (Web)"/>
    <w:basedOn w:val="a"/>
    <w:rsid w:val="002226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F4D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A65CC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65CCB"/>
    <w:rPr>
      <w:color w:val="800080"/>
      <w:u w:val="single"/>
    </w:rPr>
  </w:style>
  <w:style w:type="paragraph" w:customStyle="1" w:styleId="xl65">
    <w:name w:val="xl65"/>
    <w:basedOn w:val="a"/>
    <w:rsid w:val="00A65C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5C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5C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65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65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A6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7490</Words>
  <Characters>42695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Азанов В.В.</cp:lastModifiedBy>
  <cp:revision>2</cp:revision>
  <dcterms:created xsi:type="dcterms:W3CDTF">2014-11-10T08:59:00Z</dcterms:created>
  <dcterms:modified xsi:type="dcterms:W3CDTF">2014-11-10T08:59:00Z</dcterms:modified>
</cp:coreProperties>
</file>